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28268">
      <w:pPr>
        <w:rPr>
          <w:rFonts w:hint="eastAsia" w:ascii="Times New Roman" w:hAnsi="Times New Roman" w:eastAsia="仿宋_GB2312" w:cs="Times New Roman"/>
          <w:color w:val="auto"/>
          <w:kern w:val="2"/>
          <w:sz w:val="32"/>
          <w:szCs w:val="32"/>
          <w:highlight w:val="none"/>
          <w:lang w:val="en-US" w:eastAsia="zh-CN"/>
          <w14:ligatures w14:val="none"/>
        </w:rPr>
      </w:pPr>
      <w:bookmarkStart w:id="0" w:name="_GoBack"/>
      <w:r>
        <w:rPr>
          <w:rFonts w:hint="eastAsia" w:ascii="Times New Roman" w:hAnsi="Times New Roman" w:eastAsia="仿宋_GB2312" w:cs="Times New Roman"/>
          <w:color w:val="auto"/>
          <w:kern w:val="2"/>
          <w:sz w:val="32"/>
          <w:szCs w:val="32"/>
          <w:highlight w:val="none"/>
          <w:lang w:val="en-US" w:eastAsia="zh-CN"/>
          <w14:ligatures w14:val="none"/>
        </w:rPr>
        <w:t xml:space="preserve">附件2 </w:t>
      </w:r>
    </w:p>
    <w:p w14:paraId="20832A38">
      <w:pPr>
        <w:pStyle w:val="2"/>
        <w:rPr>
          <w:rFonts w:hint="eastAsia"/>
          <w:color w:val="auto"/>
          <w:highlight w:val="none"/>
          <w:lang w:val="en-US" w:eastAsia="zh-CN"/>
        </w:rPr>
      </w:pPr>
    </w:p>
    <w:p w14:paraId="49875636">
      <w:pPr>
        <w:pStyle w:val="9"/>
        <w:jc w:val="center"/>
        <w:outlineLvl w:val="1"/>
        <w:rPr>
          <w:rFonts w:hint="eastAsia" w:ascii="Times New Roman" w:hAnsi="Times New Roman" w:eastAsia="方正小标宋简体" w:cs="Times New Roman"/>
          <w:color w:val="auto"/>
          <w:w w:val="100"/>
          <w:kern w:val="0"/>
          <w:sz w:val="44"/>
          <w:szCs w:val="44"/>
          <w:highlight w:val="none"/>
          <w:lang w:val="en-US" w:eastAsia="zh-CN" w:bidi="ar-SA"/>
          <w14:ligatures w14:val="none"/>
        </w:rPr>
      </w:pPr>
      <w:r>
        <w:rPr>
          <w:rFonts w:hint="eastAsia" w:ascii="Times New Roman" w:hAnsi="Times New Roman" w:eastAsia="方正小标宋简体" w:cs="Times New Roman"/>
          <w:color w:val="auto"/>
          <w:w w:val="100"/>
          <w:kern w:val="0"/>
          <w:sz w:val="44"/>
          <w:szCs w:val="44"/>
          <w:highlight w:val="none"/>
          <w:lang w:val="en-US" w:eastAsia="zh-CN" w:bidi="ar-SA"/>
          <w14:ligatures w14:val="none"/>
        </w:rPr>
        <w:t>256排或双源≥96排×2的CT（临床科研型）参数（征求意见稿）</w:t>
      </w:r>
    </w:p>
    <w:p w14:paraId="00D6DDF9">
      <w:pPr>
        <w:pStyle w:val="9"/>
        <w:ind w:firstLine="480"/>
        <w:jc w:val="both"/>
        <w:outlineLvl w:val="2"/>
        <w:rPr>
          <w:b/>
          <w:color w:val="auto"/>
          <w:sz w:val="28"/>
          <w:highlight w:val="none"/>
        </w:rPr>
      </w:pPr>
    </w:p>
    <w:p w14:paraId="0813D4B9">
      <w:pPr>
        <w:pStyle w:val="9"/>
        <w:ind w:firstLine="480"/>
        <w:jc w:val="both"/>
        <w:outlineLvl w:val="2"/>
        <w:rPr>
          <w:color w:val="auto"/>
          <w:highlight w:val="none"/>
        </w:rPr>
      </w:pPr>
      <w:r>
        <w:rPr>
          <w:rFonts w:hint="eastAsia"/>
          <w:b/>
          <w:color w:val="auto"/>
          <w:sz w:val="28"/>
          <w:highlight w:val="none"/>
          <w:lang w:val="en-US" w:eastAsia="zh-CN"/>
        </w:rPr>
        <w:t>一</w:t>
      </w:r>
      <w:r>
        <w:rPr>
          <w:b/>
          <w:color w:val="auto"/>
          <w:sz w:val="28"/>
          <w:highlight w:val="none"/>
        </w:rPr>
        <w:t>、技术和服务要求（以“★”标示的内容为不允许负偏离的实质性要求）</w:t>
      </w:r>
    </w:p>
    <w:tbl>
      <w:tblPr>
        <w:tblStyle w:val="5"/>
        <w:tblW w:w="82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391"/>
        <w:gridCol w:w="4189"/>
        <w:gridCol w:w="1971"/>
      </w:tblGrid>
      <w:tr w14:paraId="6C62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8FB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14:ligatures w14:val="standardContextual"/>
              </w:rPr>
              <w:t>总体要求</w:t>
            </w:r>
            <w:r>
              <w:rPr>
                <w:b/>
                <w:color w:val="auto"/>
                <w:sz w:val="28"/>
                <w:highlight w:val="none"/>
              </w:rPr>
              <w:t>★</w:t>
            </w:r>
          </w:p>
        </w:tc>
        <w:tc>
          <w:tcPr>
            <w:tcW w:w="7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BA5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1.各供应商所投机型应为：探测器物理排数≥256排或双源≥96排×2；探测器物理Z轴宽度单套≥16cm或双套≥5.76cmx2或立体≥8cmx2；</w:t>
            </w:r>
            <w:r>
              <w:rPr>
                <w:rFonts w:hint="eastAsia" w:ascii="宋体" w:hAnsi="宋体" w:eastAsia="宋体" w:cs="宋体"/>
                <w:i w:val="0"/>
                <w:iCs w:val="0"/>
                <w:color w:val="auto"/>
                <w:kern w:val="0"/>
                <w:sz w:val="24"/>
                <w:szCs w:val="24"/>
                <w:highlight w:val="none"/>
                <w:u w:val="none"/>
                <w:lang w:val="en-US" w:eastAsia="zh-CN" w:bidi="ar"/>
                <w14:ligatures w14:val="standardContextual"/>
              </w:rPr>
              <w:br w:type="textWrapping"/>
            </w:r>
            <w:r>
              <w:rPr>
                <w:rFonts w:hint="eastAsia" w:ascii="宋体" w:hAnsi="宋体" w:eastAsia="宋体" w:cs="宋体"/>
                <w:i w:val="0"/>
                <w:iCs w:val="0"/>
                <w:color w:val="auto"/>
                <w:kern w:val="0"/>
                <w:sz w:val="24"/>
                <w:szCs w:val="24"/>
                <w:highlight w:val="none"/>
                <w:u w:val="none"/>
                <w:lang w:val="en-US" w:eastAsia="zh-CN" w:bidi="ar"/>
                <w14:ligatures w14:val="standardContextual"/>
              </w:rPr>
              <w:t>2.必须免费提供所购机型含有的所有配置及CFDA注册所有软硬件（提供技术白皮书）；</w:t>
            </w:r>
            <w:r>
              <w:rPr>
                <w:rFonts w:hint="eastAsia" w:ascii="宋体" w:hAnsi="宋体" w:eastAsia="宋体" w:cs="宋体"/>
                <w:i w:val="0"/>
                <w:iCs w:val="0"/>
                <w:color w:val="auto"/>
                <w:kern w:val="0"/>
                <w:sz w:val="24"/>
                <w:szCs w:val="24"/>
                <w:highlight w:val="none"/>
                <w:u w:val="none"/>
                <w:lang w:val="en-US" w:eastAsia="zh-CN" w:bidi="ar"/>
                <w14:ligatures w14:val="standardContextual"/>
              </w:rPr>
              <w:br w:type="textWrapping"/>
            </w:r>
            <w:r>
              <w:rPr>
                <w:rFonts w:hint="eastAsia" w:ascii="宋体" w:hAnsi="宋体" w:eastAsia="宋体" w:cs="宋体"/>
                <w:i w:val="0"/>
                <w:iCs w:val="0"/>
                <w:color w:val="auto"/>
                <w:kern w:val="0"/>
                <w:sz w:val="24"/>
                <w:szCs w:val="24"/>
                <w:highlight w:val="none"/>
                <w:u w:val="none"/>
                <w:lang w:val="en-US" w:eastAsia="zh-CN" w:bidi="ar"/>
                <w14:ligatures w14:val="standardContextual"/>
              </w:rPr>
              <w:t>3.为保障设备使用稳 定性，提供所投超高端CT最新平台最新款产品型号；</w:t>
            </w:r>
            <w:r>
              <w:rPr>
                <w:rFonts w:hint="eastAsia" w:ascii="宋体" w:hAnsi="宋体" w:eastAsia="宋体" w:cs="宋体"/>
                <w:i w:val="0"/>
                <w:iCs w:val="0"/>
                <w:color w:val="auto"/>
                <w:kern w:val="0"/>
                <w:sz w:val="24"/>
                <w:szCs w:val="24"/>
                <w:highlight w:val="none"/>
                <w:u w:val="none"/>
                <w:lang w:val="en-US" w:eastAsia="zh-CN" w:bidi="ar"/>
                <w14:ligatures w14:val="standardContextual"/>
              </w:rPr>
              <w:br w:type="textWrapping"/>
            </w:r>
            <w:r>
              <w:rPr>
                <w:rFonts w:hint="eastAsia" w:ascii="宋体" w:hAnsi="宋体" w:eastAsia="宋体" w:cs="宋体"/>
                <w:i w:val="0"/>
                <w:iCs w:val="0"/>
                <w:color w:val="auto"/>
                <w:kern w:val="0"/>
                <w:sz w:val="24"/>
                <w:szCs w:val="24"/>
                <w:highlight w:val="none"/>
                <w:u w:val="none"/>
                <w:lang w:val="en-US" w:eastAsia="zh-CN" w:bidi="ar"/>
                <w14:ligatures w14:val="standardContextual"/>
              </w:rPr>
              <w:t>4.整机（含球管、探测器以及所配置的第三方产品等）免费维保≥2年；</w:t>
            </w:r>
            <w:r>
              <w:rPr>
                <w:rFonts w:hint="eastAsia" w:ascii="宋体" w:hAnsi="宋体" w:eastAsia="宋体" w:cs="宋体"/>
                <w:i w:val="0"/>
                <w:iCs w:val="0"/>
                <w:color w:val="auto"/>
                <w:kern w:val="0"/>
                <w:sz w:val="24"/>
                <w:szCs w:val="24"/>
                <w:highlight w:val="none"/>
                <w:u w:val="none"/>
                <w:lang w:val="en-US" w:eastAsia="zh-CN" w:bidi="ar"/>
                <w14:ligatures w14:val="standardContextual"/>
              </w:rPr>
              <w:br w:type="textWrapping"/>
            </w:r>
            <w:r>
              <w:rPr>
                <w:rFonts w:hint="eastAsia" w:ascii="宋体" w:hAnsi="宋体" w:eastAsia="宋体" w:cs="宋体"/>
                <w:i w:val="0"/>
                <w:iCs w:val="0"/>
                <w:color w:val="auto"/>
                <w:kern w:val="0"/>
                <w:sz w:val="24"/>
                <w:szCs w:val="24"/>
                <w:highlight w:val="none"/>
                <w:u w:val="none"/>
                <w:lang w:val="en-US" w:eastAsia="zh-CN" w:bidi="ar"/>
                <w14:ligatures w14:val="standardContextual"/>
              </w:rPr>
              <w:t>5.保修期结束后应承诺原厂整机年维保费（含球管、探测器以及所配置的第三方产品等）原则上不得超过中标价的 8%，供应商中标后签订合同时，需提交具有法律效力的原厂承诺函，并根据各家医院实际需求与中标商自行协商,但须按照相关法律法规及流程执行；</w:t>
            </w:r>
            <w:r>
              <w:rPr>
                <w:rFonts w:hint="eastAsia" w:ascii="宋体" w:hAnsi="宋体" w:eastAsia="宋体" w:cs="宋体"/>
                <w:i w:val="0"/>
                <w:iCs w:val="0"/>
                <w:color w:val="auto"/>
                <w:kern w:val="0"/>
                <w:sz w:val="24"/>
                <w:szCs w:val="24"/>
                <w:highlight w:val="none"/>
                <w:u w:val="none"/>
                <w:lang w:val="en-US" w:eastAsia="zh-CN" w:bidi="ar"/>
                <w14:ligatures w14:val="standardContextual"/>
              </w:rPr>
              <w:br w:type="textWrapping"/>
            </w:r>
            <w:r>
              <w:rPr>
                <w:rFonts w:hint="eastAsia" w:ascii="宋体" w:hAnsi="宋体" w:eastAsia="宋体" w:cs="宋体"/>
                <w:i w:val="0"/>
                <w:iCs w:val="0"/>
                <w:color w:val="auto"/>
                <w:kern w:val="0"/>
                <w:sz w:val="24"/>
                <w:szCs w:val="24"/>
                <w:highlight w:val="none"/>
                <w:u w:val="none"/>
                <w:lang w:val="en-US" w:eastAsia="zh-CN" w:bidi="ar"/>
                <w14:ligatures w14:val="standardContextual"/>
              </w:rPr>
              <w:t>6.须提供与所投产品医疗器械注册证一致的最新的原厂Data Sheet技术资料（中文版技术白皮书）或国家认可的具备检测资质的检测机构出具的合法有效的检测报告复印件，加盖投标人公章，以佐证技术参数。</w:t>
            </w:r>
          </w:p>
        </w:tc>
      </w:tr>
      <w:tr w14:paraId="3B50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8C4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14:ligatures w14:val="standardContextual"/>
              </w:rPr>
              <w:t>标号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502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14:ligatures w14:val="standardContextual"/>
              </w:rPr>
              <w:t>序号</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53D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14:ligatures w14:val="standardContextual"/>
              </w:rPr>
              <w:t>技术和性能参数名称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22C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14:ligatures w14:val="standardContextual"/>
              </w:rPr>
              <w:t>招标要求</w:t>
            </w:r>
          </w:p>
        </w:tc>
      </w:tr>
      <w:tr w14:paraId="5273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D273">
            <w:pPr>
              <w:keepNext w:val="0"/>
              <w:keepLines w:val="0"/>
              <w:widowControl/>
              <w:suppressLineNumbers w:val="0"/>
              <w:jc w:val="center"/>
              <w:textAlignment w:val="center"/>
              <w:rPr>
                <w:rFonts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48B1">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CC49">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影像链核心部件是否为一体化影像链，探测器、球管和高压发生器是否为CT同品牌(提供证明)</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A3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满足</w:t>
            </w:r>
          </w:p>
        </w:tc>
      </w:tr>
      <w:tr w14:paraId="1D5D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E836">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5E66">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DD4D">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探测器参数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E84C">
            <w:pPr>
              <w:rPr>
                <w:rFonts w:hint="default" w:ascii="Times New Roman" w:hAnsi="Times New Roman" w:eastAsia="宋体" w:cs="Times New Roman"/>
                <w:i w:val="0"/>
                <w:iCs w:val="0"/>
                <w:color w:val="auto"/>
                <w:sz w:val="24"/>
                <w:szCs w:val="24"/>
                <w:highlight w:val="none"/>
                <w:u w:val="none"/>
              </w:rPr>
            </w:pPr>
          </w:p>
        </w:tc>
      </w:tr>
      <w:tr w14:paraId="78A2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B276">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B1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2.1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2D0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探测器Z轴排列设计</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914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等焦或球面或等距</w:t>
            </w:r>
          </w:p>
        </w:tc>
      </w:tr>
      <w:tr w14:paraId="4175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E024">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07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2.2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2683">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是否具体DAS高集成化数据采集系统</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D9C0">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DAS</w:t>
            </w:r>
            <w:r>
              <w:rPr>
                <w:rFonts w:hint="eastAsia" w:ascii="宋体" w:hAnsi="宋体" w:eastAsia="宋体" w:cs="宋体"/>
                <w:i w:val="0"/>
                <w:iCs w:val="0"/>
                <w:color w:val="auto"/>
                <w:kern w:val="0"/>
                <w:sz w:val="24"/>
                <w:szCs w:val="24"/>
                <w:highlight w:val="none"/>
                <w:u w:val="none"/>
                <w:lang w:val="en-US" w:eastAsia="zh-CN" w:bidi="ar"/>
                <w14:ligatures w14:val="standardContextual"/>
              </w:rPr>
              <w:t>高集成化</w:t>
            </w:r>
          </w:p>
        </w:tc>
      </w:tr>
      <w:tr w14:paraId="2471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C5FD">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CF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2.3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C6C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准直器：是否具备后准直器能够阻挡X/Y和Z轴方向的散射线</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2F4A">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977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CEB">
            <w:pPr>
              <w:keepNext w:val="0"/>
              <w:keepLines w:val="0"/>
              <w:widowControl/>
              <w:suppressLineNumbers w:val="0"/>
              <w:jc w:val="center"/>
              <w:textAlignment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74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2.4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924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每排探测器物理单元数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34C9">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≥850</w:t>
            </w:r>
            <w:r>
              <w:rPr>
                <w:rFonts w:hint="eastAsia" w:ascii="宋体" w:hAnsi="宋体" w:eastAsia="宋体" w:cs="宋体"/>
                <w:i w:val="0"/>
                <w:iCs w:val="0"/>
                <w:color w:val="auto"/>
                <w:kern w:val="0"/>
                <w:sz w:val="24"/>
                <w:szCs w:val="24"/>
                <w:highlight w:val="none"/>
                <w:u w:val="none"/>
                <w:lang w:val="en-US" w:eastAsia="zh-CN" w:bidi="ar"/>
                <w14:ligatures w14:val="standardContextual"/>
              </w:rPr>
              <w:t>个</w:t>
            </w:r>
          </w:p>
        </w:tc>
      </w:tr>
      <w:tr w14:paraId="2688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F754">
            <w:pPr>
              <w:keepNext w:val="0"/>
              <w:keepLines w:val="0"/>
              <w:widowControl/>
              <w:suppressLineNumbers w:val="0"/>
              <w:jc w:val="center"/>
              <w:textAlignment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F2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2.5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C4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探测器Z轴单元最小物理尺寸</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F620">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≤0.5mm</w:t>
            </w:r>
          </w:p>
        </w:tc>
      </w:tr>
      <w:tr w14:paraId="3F1A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97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C5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2.6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5AB4">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单圈最大扫描层数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84D9">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≥512</w:t>
            </w:r>
            <w:r>
              <w:rPr>
                <w:rFonts w:hint="eastAsia" w:ascii="宋体" w:hAnsi="宋体" w:eastAsia="宋体" w:cs="宋体"/>
                <w:i w:val="0"/>
                <w:iCs w:val="0"/>
                <w:color w:val="auto"/>
                <w:kern w:val="0"/>
                <w:sz w:val="24"/>
                <w:szCs w:val="24"/>
                <w:highlight w:val="none"/>
                <w:u w:val="none"/>
                <w:lang w:val="en-US" w:eastAsia="zh-CN" w:bidi="ar"/>
                <w14:ligatures w14:val="standardContextual"/>
              </w:rPr>
              <w:t>层</w:t>
            </w:r>
          </w:p>
        </w:tc>
      </w:tr>
      <w:tr w14:paraId="0348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21F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6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2.7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2263">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具备3D防散射栅格</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4910">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42D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0D6C">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C0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2.8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24F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探测器数据采集系统（DAS）数据采样率</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88EE">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≥4600</w:t>
            </w:r>
          </w:p>
        </w:tc>
      </w:tr>
      <w:tr w14:paraId="00E8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5E5A">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D538">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8284">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球管和高压参数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B883">
            <w:pPr>
              <w:rPr>
                <w:rFonts w:hint="default" w:ascii="Times New Roman" w:hAnsi="Times New Roman" w:eastAsia="宋体" w:cs="Times New Roman"/>
                <w:i w:val="0"/>
                <w:iCs w:val="0"/>
                <w:color w:val="auto"/>
                <w:sz w:val="24"/>
                <w:szCs w:val="24"/>
                <w:highlight w:val="none"/>
                <w:u w:val="none"/>
              </w:rPr>
            </w:pPr>
          </w:p>
        </w:tc>
      </w:tr>
      <w:tr w14:paraId="457A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9E8F">
            <w:pPr>
              <w:keepNext w:val="0"/>
              <w:keepLines w:val="0"/>
              <w:widowControl/>
              <w:suppressLineNumbers w:val="0"/>
              <w:jc w:val="center"/>
              <w:textAlignment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E7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F6F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高压发生器总功率</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E39">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≥103kW</w:t>
            </w:r>
          </w:p>
        </w:tc>
      </w:tr>
      <w:tr w14:paraId="1051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FF64">
            <w:pPr>
              <w:keepNext w:val="0"/>
              <w:keepLines w:val="0"/>
              <w:widowControl/>
              <w:suppressLineNumbers w:val="0"/>
              <w:jc w:val="center"/>
              <w:textAlignment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B7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92B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最高输出管电流</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26E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≥900mA</w:t>
            </w:r>
          </w:p>
        </w:tc>
      </w:tr>
      <w:tr w14:paraId="49EC5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6AFE">
            <w:pPr>
              <w:jc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7A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1E2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最低输出管电流</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0035">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≤10mA</w:t>
            </w:r>
          </w:p>
        </w:tc>
      </w:tr>
      <w:tr w14:paraId="5D8C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8181">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45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E9B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高压发生器全程管电流最小增幅</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879">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≤1mA</w:t>
            </w:r>
          </w:p>
        </w:tc>
      </w:tr>
      <w:tr w14:paraId="4CDE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E2FA">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58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DB8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管电压输出档位</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8C1F">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≥6</w:t>
            </w:r>
            <w:r>
              <w:rPr>
                <w:rFonts w:hint="eastAsia" w:ascii="宋体" w:hAnsi="宋体" w:eastAsia="宋体" w:cs="宋体"/>
                <w:i w:val="0"/>
                <w:iCs w:val="0"/>
                <w:color w:val="auto"/>
                <w:kern w:val="0"/>
                <w:sz w:val="24"/>
                <w:szCs w:val="24"/>
                <w:highlight w:val="none"/>
                <w:u w:val="none"/>
                <w:lang w:val="en-US" w:eastAsia="zh-CN" w:bidi="ar"/>
                <w14:ligatures w14:val="standardContextual"/>
              </w:rPr>
              <w:t>档</w:t>
            </w:r>
          </w:p>
        </w:tc>
      </w:tr>
      <w:tr w14:paraId="4C79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77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FA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4B6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最高输出管电压</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3242">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≥140KV</w:t>
            </w:r>
          </w:p>
        </w:tc>
      </w:tr>
      <w:tr w14:paraId="0648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1ED7">
            <w:pPr>
              <w:keepNext w:val="0"/>
              <w:keepLines w:val="0"/>
              <w:widowControl/>
              <w:suppressLineNumbers w:val="0"/>
              <w:jc w:val="center"/>
              <w:textAlignment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92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481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高压发生器支持能谱扫描技术或者双能量成像技术，高低电压切换最小时间间隔（提供证明）</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9A65">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≤25ms</w:t>
            </w:r>
          </w:p>
        </w:tc>
      </w:tr>
      <w:tr w14:paraId="3C6E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D68A">
            <w:pPr>
              <w:keepNext w:val="0"/>
              <w:keepLines w:val="0"/>
              <w:widowControl/>
              <w:suppressLineNumbers w:val="0"/>
              <w:jc w:val="center"/>
              <w:textAlignment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5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92C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球管阳极散热率</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F270">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≥1800kHU/min</w:t>
            </w:r>
          </w:p>
        </w:tc>
      </w:tr>
      <w:tr w14:paraId="26F9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9D0B">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98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7BA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球管焦点个数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130">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≥3</w:t>
            </w:r>
            <w:r>
              <w:rPr>
                <w:rFonts w:hint="eastAsia" w:ascii="宋体" w:hAnsi="宋体" w:eastAsia="宋体" w:cs="宋体"/>
                <w:i w:val="0"/>
                <w:iCs w:val="0"/>
                <w:color w:val="auto"/>
                <w:kern w:val="0"/>
                <w:sz w:val="24"/>
                <w:szCs w:val="24"/>
                <w:highlight w:val="none"/>
                <w:u w:val="none"/>
                <w:lang w:val="en-US" w:eastAsia="zh-CN" w:bidi="ar"/>
                <w14:ligatures w14:val="standardContextual"/>
              </w:rPr>
              <w:t>个</w:t>
            </w:r>
          </w:p>
        </w:tc>
      </w:tr>
      <w:tr w14:paraId="0EC2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5D63">
            <w:pPr>
              <w:jc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4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3.10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2F4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最小焦点尺寸</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8F03">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≤0.6mmx0.8mm</w:t>
            </w:r>
          </w:p>
        </w:tc>
      </w:tr>
      <w:tr w14:paraId="5D50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46BC">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ED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3.11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732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最大焦点尺寸</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4674">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≥1.1mmx1.2mm</w:t>
            </w:r>
          </w:p>
        </w:tc>
      </w:tr>
      <w:tr w14:paraId="5A3B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468D">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61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3.12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6583">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最低输出管电压</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012D">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≤70KV</w:t>
            </w:r>
          </w:p>
        </w:tc>
      </w:tr>
      <w:tr w14:paraId="4219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2840">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E6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3.13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4FF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球管阳极热容量（等效）</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2E9E">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≥30MHU</w:t>
            </w:r>
          </w:p>
        </w:tc>
      </w:tr>
      <w:tr w14:paraId="0C5A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796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94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3.14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8C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双能量成像扫描最大管电压</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11CD">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≥140KV</w:t>
            </w:r>
          </w:p>
        </w:tc>
      </w:tr>
      <w:tr w14:paraId="679E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871F">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2D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3.15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EEE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双能量成像管电压输出范围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4966">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 xml:space="preserve"> 80KV-140KV</w:t>
            </w:r>
          </w:p>
        </w:tc>
      </w:tr>
      <w:tr w14:paraId="4440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C0CC">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06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3.16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D19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球管焦点到探测器距离</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CF7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单套</w:t>
            </w: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≥104cm</w:t>
            </w:r>
            <w:r>
              <w:rPr>
                <w:rFonts w:hint="eastAsia" w:ascii="宋体" w:hAnsi="宋体" w:eastAsia="宋体" w:cs="宋体"/>
                <w:i w:val="0"/>
                <w:iCs w:val="0"/>
                <w:color w:val="auto"/>
                <w:kern w:val="0"/>
                <w:sz w:val="24"/>
                <w:szCs w:val="24"/>
                <w:highlight w:val="none"/>
                <w:u w:val="none"/>
                <w:lang w:val="en-US" w:eastAsia="zh-CN" w:bidi="ar"/>
                <w14:ligatures w14:val="standardContextual"/>
              </w:rPr>
              <w:t>或双套</w:t>
            </w: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≥59.5cm</w:t>
            </w:r>
          </w:p>
        </w:tc>
      </w:tr>
      <w:tr w14:paraId="386C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132B">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DF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3.17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31C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焦点到等中心点距离</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A0D9">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≥57cm</w:t>
            </w:r>
          </w:p>
        </w:tc>
      </w:tr>
      <w:tr w14:paraId="7209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4150">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B4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3.18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7E73">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最长连续曝光时间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9156">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≥100s</w:t>
            </w:r>
          </w:p>
        </w:tc>
      </w:tr>
      <w:tr w14:paraId="498D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881E">
            <w:pPr>
              <w:jc w:val="center"/>
              <w:rPr>
                <w:rFonts w:hint="eastAsia" w:ascii="宋体" w:hAnsi="宋体" w:eastAsia="宋体" w:cs="宋体"/>
                <w:b/>
                <w:bCs/>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12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3.19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3CBC">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球管轴承技术</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6C7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液态金属轴承技术</w:t>
            </w:r>
          </w:p>
        </w:tc>
      </w:tr>
      <w:tr w14:paraId="6652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52F">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8810">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E7F0">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扫描机架参数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5AB4">
            <w:pPr>
              <w:rPr>
                <w:rFonts w:hint="default" w:ascii="Times New Roman" w:hAnsi="Times New Roman" w:eastAsia="宋体" w:cs="Times New Roman"/>
                <w:i w:val="0"/>
                <w:iCs w:val="0"/>
                <w:color w:val="auto"/>
                <w:sz w:val="24"/>
                <w:szCs w:val="24"/>
                <w:highlight w:val="none"/>
                <w:u w:val="none"/>
              </w:rPr>
            </w:pPr>
          </w:p>
        </w:tc>
      </w:tr>
      <w:tr w14:paraId="4FF7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1624">
            <w:pPr>
              <w:keepNext w:val="0"/>
              <w:keepLines w:val="0"/>
              <w:widowControl/>
              <w:suppressLineNumbers w:val="0"/>
              <w:jc w:val="center"/>
              <w:textAlignment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14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4.1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747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机架孔径尺寸</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590F">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≥78cm</w:t>
            </w:r>
          </w:p>
        </w:tc>
      </w:tr>
      <w:tr w14:paraId="7DF9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3A0F">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7D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4.2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713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机架驱动方式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D7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电磁、磁悬浮、数字化钢带</w:t>
            </w:r>
          </w:p>
        </w:tc>
      </w:tr>
      <w:tr w14:paraId="48DF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824A">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9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4.3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0FB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滑环类型</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31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低压或静音</w:t>
            </w:r>
          </w:p>
        </w:tc>
      </w:tr>
      <w:tr w14:paraId="11586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0B0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F8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4.4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B96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滑环数据传输方式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D27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光纤或射频</w:t>
            </w:r>
          </w:p>
        </w:tc>
      </w:tr>
      <w:tr w14:paraId="3343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5BC7">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1D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4.5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D69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床旁患者信息、扫描床位置、扫描时间的显示</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49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009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5F17">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75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4.6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ADC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机架物理最快转速</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CBB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≤0.28</w:t>
            </w:r>
            <w:r>
              <w:rPr>
                <w:rFonts w:hint="eastAsia" w:ascii="宋体" w:hAnsi="宋体" w:eastAsia="宋体" w:cs="宋体"/>
                <w:i w:val="0"/>
                <w:iCs w:val="0"/>
                <w:color w:val="auto"/>
                <w:kern w:val="0"/>
                <w:sz w:val="24"/>
                <w:szCs w:val="24"/>
                <w:highlight w:val="none"/>
                <w:u w:val="none"/>
                <w:lang w:val="en-US" w:eastAsia="zh-CN" w:bidi="ar"/>
                <w14:ligatures w14:val="standardContextual"/>
              </w:rPr>
              <w:t>秒</w:t>
            </w: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w:t>
            </w:r>
            <w:r>
              <w:rPr>
                <w:rFonts w:hint="eastAsia" w:ascii="宋体" w:hAnsi="宋体" w:eastAsia="宋体" w:cs="宋体"/>
                <w:i w:val="0"/>
                <w:iCs w:val="0"/>
                <w:color w:val="auto"/>
                <w:kern w:val="0"/>
                <w:sz w:val="24"/>
                <w:szCs w:val="24"/>
                <w:highlight w:val="none"/>
                <w:u w:val="none"/>
                <w:lang w:val="en-US" w:eastAsia="zh-CN" w:bidi="ar"/>
                <w14:ligatures w14:val="standardContextual"/>
              </w:rPr>
              <w:t>圈</w:t>
            </w:r>
          </w:p>
        </w:tc>
      </w:tr>
      <w:tr w14:paraId="7A71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FF72">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3A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4.7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5AB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机架倾斜角度</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8581">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≥±30°</w:t>
            </w:r>
          </w:p>
        </w:tc>
      </w:tr>
      <w:tr w14:paraId="7075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C4A5">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C9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4.8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397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机架控制面板</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F3A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≥2</w:t>
            </w:r>
            <w:r>
              <w:rPr>
                <w:rFonts w:hint="eastAsia" w:ascii="宋体" w:hAnsi="宋体" w:eastAsia="宋体" w:cs="宋体"/>
                <w:i w:val="0"/>
                <w:iCs w:val="0"/>
                <w:color w:val="auto"/>
                <w:kern w:val="0"/>
                <w:sz w:val="24"/>
                <w:szCs w:val="24"/>
                <w:highlight w:val="none"/>
                <w:u w:val="none"/>
                <w:lang w:val="en-US" w:eastAsia="zh-CN" w:bidi="ar"/>
                <w14:ligatures w14:val="standardContextual"/>
              </w:rPr>
              <w:t>个</w:t>
            </w:r>
          </w:p>
        </w:tc>
      </w:tr>
      <w:tr w14:paraId="5EA0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E062">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CA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4.9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EDB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语音呼吸导航系统</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6E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A73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2488">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2C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4.10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898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内外激光定位灯</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28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D6B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976B">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5055">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E7FD">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扫描床参数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ED34">
            <w:pPr>
              <w:rPr>
                <w:rFonts w:hint="default" w:ascii="Times New Roman" w:hAnsi="Times New Roman" w:eastAsia="宋体" w:cs="Times New Roman"/>
                <w:i w:val="0"/>
                <w:iCs w:val="0"/>
                <w:color w:val="auto"/>
                <w:sz w:val="24"/>
                <w:szCs w:val="24"/>
                <w:highlight w:val="none"/>
                <w:u w:val="none"/>
              </w:rPr>
            </w:pPr>
          </w:p>
        </w:tc>
      </w:tr>
      <w:tr w14:paraId="39E2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682B">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A2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5.1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326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最大水平移动范围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9BBB">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≥200cm</w:t>
            </w:r>
          </w:p>
        </w:tc>
      </w:tr>
      <w:tr w14:paraId="6D18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D93A">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22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5.2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3E1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螺旋扫描最大可扫描范围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86C6">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≥170cm</w:t>
            </w:r>
          </w:p>
        </w:tc>
      </w:tr>
      <w:tr w14:paraId="504C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7A18">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01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5.3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07C">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最大定位像可扫描长度</w:t>
            </w:r>
          </w:p>
        </w:tc>
        <w:tc>
          <w:tcPr>
            <w:tcW w:w="1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FE34">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≥180cm</w:t>
            </w:r>
          </w:p>
        </w:tc>
      </w:tr>
      <w:tr w14:paraId="196C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454D">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EB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5.4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112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扫描床最大水平移动速度</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B1C8">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≥400mm/s</w:t>
            </w:r>
          </w:p>
        </w:tc>
      </w:tr>
      <w:tr w14:paraId="48BA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81D7">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89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5.5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8A0C">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最大垂直升降速度</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673A">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≥40mm/s</w:t>
            </w:r>
          </w:p>
        </w:tc>
      </w:tr>
      <w:tr w14:paraId="0B25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54B5">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CB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5.6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CB65">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扫描床垂直升降最低位置</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C517">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≤50cm</w:t>
            </w:r>
          </w:p>
        </w:tc>
      </w:tr>
      <w:tr w14:paraId="7DA1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E55A">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21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5.7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968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扫描床垂直升降最高位置</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C73E">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≥90cm</w:t>
            </w:r>
          </w:p>
        </w:tc>
      </w:tr>
      <w:tr w14:paraId="243B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7CC4">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C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5.8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595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扫描床最大承重</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850A">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≥225KG</w:t>
            </w:r>
          </w:p>
        </w:tc>
      </w:tr>
      <w:tr w14:paraId="067B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A3A2">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F3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5.9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1D3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在垂直位置上，床可以自动回复到中心平面</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61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1E1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01D6">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8F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5.10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9BC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扫描床控制脚踏开关</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95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777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EDBE">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1D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5.11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F1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水平定位精度</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C1EA">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≤±0.25mm</w:t>
            </w:r>
          </w:p>
        </w:tc>
      </w:tr>
      <w:tr w14:paraId="258C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3F3B">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16FC">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4C56">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主控制台及重建计算机系统参数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41BA">
            <w:pPr>
              <w:rPr>
                <w:rFonts w:hint="default" w:ascii="Times New Roman" w:hAnsi="Times New Roman" w:eastAsia="宋体" w:cs="Times New Roman"/>
                <w:i w:val="0"/>
                <w:iCs w:val="0"/>
                <w:color w:val="auto"/>
                <w:sz w:val="24"/>
                <w:szCs w:val="24"/>
                <w:highlight w:val="none"/>
                <w:u w:val="none"/>
              </w:rPr>
            </w:pPr>
          </w:p>
        </w:tc>
      </w:tr>
      <w:tr w14:paraId="6589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BEC4">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9D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AF74">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主控台计算机CPU</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EBFE">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≥8</w:t>
            </w:r>
            <w:r>
              <w:rPr>
                <w:rFonts w:hint="eastAsia" w:ascii="宋体" w:hAnsi="宋体" w:eastAsia="宋体" w:cs="宋体"/>
                <w:i w:val="0"/>
                <w:iCs w:val="0"/>
                <w:color w:val="auto"/>
                <w:kern w:val="0"/>
                <w:sz w:val="22"/>
                <w:szCs w:val="22"/>
                <w:highlight w:val="none"/>
                <w:u w:val="none"/>
                <w:lang w:val="en-US" w:eastAsia="zh-CN" w:bidi="ar"/>
                <w14:ligatures w14:val="standardContextual"/>
              </w:rPr>
              <w:t>核，</w:t>
            </w:r>
            <w:r>
              <w:rPr>
                <w:rFonts w:hint="default" w:ascii="Times New Roman" w:hAnsi="Times New Roman" w:eastAsia="宋体" w:cs="Times New Roman"/>
                <w:i w:val="0"/>
                <w:iCs w:val="0"/>
                <w:color w:val="auto"/>
                <w:kern w:val="0"/>
                <w:sz w:val="22"/>
                <w:szCs w:val="22"/>
                <w:highlight w:val="none"/>
                <w:u w:val="none"/>
                <w:lang w:val="en-US" w:eastAsia="zh-CN" w:bidi="ar"/>
                <w14:ligatures w14:val="standardContextual"/>
              </w:rPr>
              <w:t>3.5GHZ</w:t>
            </w:r>
          </w:p>
        </w:tc>
      </w:tr>
      <w:tr w14:paraId="7CFD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598A">
            <w:pPr>
              <w:jc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D4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D96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主控台计算机内存</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A2C6">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≥64</w:t>
            </w:r>
            <w:r>
              <w:rPr>
                <w:rStyle w:val="105"/>
                <w:rFonts w:hAnsi="Times New Roman"/>
                <w:color w:val="auto"/>
                <w:highlight w:val="none"/>
                <w:lang w:val="en-US" w:eastAsia="zh-CN" w:bidi="ar"/>
                <w14:ligatures w14:val="standardContextual"/>
              </w:rPr>
              <w:t>GB</w:t>
            </w:r>
          </w:p>
        </w:tc>
      </w:tr>
      <w:tr w14:paraId="135C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0FB7">
            <w:pPr>
              <w:jc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93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C82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主控台硬盘容量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3A04">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≥3TB</w:t>
            </w:r>
          </w:p>
        </w:tc>
      </w:tr>
      <w:tr w14:paraId="0040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56DE">
            <w:pPr>
              <w:jc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15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211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主控台图像存储量（512x512矩阵，非压缩图像）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BD35">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≥100</w:t>
            </w:r>
            <w:r>
              <w:rPr>
                <w:rFonts w:hint="eastAsia" w:ascii="宋体" w:hAnsi="宋体" w:eastAsia="宋体" w:cs="宋体"/>
                <w:i w:val="0"/>
                <w:iCs w:val="0"/>
                <w:color w:val="auto"/>
                <w:kern w:val="0"/>
                <w:sz w:val="24"/>
                <w:szCs w:val="24"/>
                <w:highlight w:val="none"/>
                <w:u w:val="none"/>
                <w:lang w:val="en-US" w:eastAsia="zh-CN" w:bidi="ar"/>
                <w14:ligatures w14:val="standardContextual"/>
              </w:rPr>
              <w:t>万幅</w:t>
            </w:r>
          </w:p>
        </w:tc>
      </w:tr>
      <w:tr w14:paraId="147D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92A2">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5B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6D4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主控台计算机操作系统</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7E96">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≥Windows 10</w:t>
            </w:r>
            <w:r>
              <w:rPr>
                <w:rFonts w:hint="eastAsia" w:ascii="宋体" w:hAnsi="宋体" w:eastAsia="宋体" w:cs="宋体"/>
                <w:i w:val="0"/>
                <w:iCs w:val="0"/>
                <w:color w:val="auto"/>
                <w:kern w:val="0"/>
                <w:sz w:val="24"/>
                <w:szCs w:val="24"/>
                <w:highlight w:val="none"/>
                <w:u w:val="none"/>
                <w:lang w:val="en-US" w:eastAsia="zh-CN" w:bidi="ar"/>
                <w14:ligatures w14:val="standardContextual"/>
              </w:rPr>
              <w:t>或</w:t>
            </w: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Linux</w:t>
            </w:r>
          </w:p>
        </w:tc>
      </w:tr>
      <w:tr w14:paraId="4125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3F38">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E6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ECF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重建计算机CPU</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FC15">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≥16</w:t>
            </w:r>
            <w:r>
              <w:rPr>
                <w:rFonts w:hint="eastAsia" w:ascii="宋体" w:hAnsi="宋体" w:eastAsia="宋体" w:cs="宋体"/>
                <w:i w:val="0"/>
                <w:iCs w:val="0"/>
                <w:color w:val="auto"/>
                <w:kern w:val="0"/>
                <w:sz w:val="22"/>
                <w:szCs w:val="22"/>
                <w:highlight w:val="none"/>
                <w:u w:val="none"/>
                <w:lang w:val="en-US" w:eastAsia="zh-CN" w:bidi="ar"/>
                <w14:ligatures w14:val="standardContextual"/>
              </w:rPr>
              <w:t>核，</w:t>
            </w:r>
            <w:r>
              <w:rPr>
                <w:rFonts w:hint="default" w:ascii="Times New Roman" w:hAnsi="Times New Roman" w:eastAsia="宋体" w:cs="Times New Roman"/>
                <w:i w:val="0"/>
                <w:iCs w:val="0"/>
                <w:color w:val="auto"/>
                <w:kern w:val="0"/>
                <w:sz w:val="22"/>
                <w:szCs w:val="22"/>
                <w:highlight w:val="none"/>
                <w:u w:val="none"/>
                <w:lang w:val="en-US" w:eastAsia="zh-CN" w:bidi="ar"/>
                <w14:ligatures w14:val="standardContextual"/>
              </w:rPr>
              <w:t>3.5GHZ</w:t>
            </w:r>
          </w:p>
        </w:tc>
      </w:tr>
      <w:tr w14:paraId="2B06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21A3">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9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8B6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重建计算机内存</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79A8">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≥64</w:t>
            </w:r>
            <w:r>
              <w:rPr>
                <w:rStyle w:val="105"/>
                <w:rFonts w:hAnsi="Times New Roman"/>
                <w:color w:val="auto"/>
                <w:highlight w:val="none"/>
                <w:lang w:val="en-US" w:eastAsia="zh-CN" w:bidi="ar"/>
                <w14:ligatures w14:val="standardContextual"/>
              </w:rPr>
              <w:t>GB</w:t>
            </w:r>
          </w:p>
        </w:tc>
      </w:tr>
      <w:tr w14:paraId="3084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EF1E">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2B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4ED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重建计算机硬盘容量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44BE">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≥4TB</w:t>
            </w:r>
          </w:p>
        </w:tc>
      </w:tr>
      <w:tr w14:paraId="2109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50E9">
            <w:pPr>
              <w:jc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80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295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显示器尺寸</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9F1B">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≥24</w:t>
            </w:r>
            <w:r>
              <w:rPr>
                <w:rFonts w:hint="eastAsia" w:ascii="宋体" w:hAnsi="宋体" w:eastAsia="宋体" w:cs="宋体"/>
                <w:i w:val="0"/>
                <w:iCs w:val="0"/>
                <w:color w:val="auto"/>
                <w:kern w:val="0"/>
                <w:sz w:val="24"/>
                <w:szCs w:val="24"/>
                <w:highlight w:val="none"/>
                <w:u w:val="none"/>
                <w:lang w:val="en-US" w:eastAsia="zh-CN" w:bidi="ar"/>
                <w14:ligatures w14:val="standardContextual"/>
              </w:rPr>
              <w:t>英寸</w:t>
            </w:r>
          </w:p>
        </w:tc>
      </w:tr>
      <w:tr w14:paraId="170C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EDCA">
            <w:pPr>
              <w:jc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73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6.10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548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显示器分辨率</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08A4">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≥1920x1200</w:t>
            </w:r>
          </w:p>
        </w:tc>
      </w:tr>
      <w:tr w14:paraId="7063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597B">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A7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6.11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8A7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支持CD/DVD读取和刻录</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63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5DB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86E9">
            <w:pPr>
              <w:jc w:val="center"/>
              <w:rPr>
                <w:rFonts w:hint="default" w:ascii="Arial" w:hAnsi="Arial" w:eastAsia="宋体" w:cs="Arial"/>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DB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6.12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2C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具备USB外置硬盘接口</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45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8F4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B206">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59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6.13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34F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DICOM3.0接口，支持DICOM格式数据的传输、接收、打印、归档、查询</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A3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1CF7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5A70">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73B4">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A16C">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扫描和重建参数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FC2E">
            <w:pPr>
              <w:rPr>
                <w:rFonts w:hint="default" w:ascii="Times New Roman" w:hAnsi="Times New Roman" w:eastAsia="宋体" w:cs="Times New Roman"/>
                <w:i w:val="0"/>
                <w:iCs w:val="0"/>
                <w:color w:val="auto"/>
                <w:sz w:val="24"/>
                <w:szCs w:val="24"/>
                <w:highlight w:val="none"/>
                <w:u w:val="none"/>
              </w:rPr>
            </w:pPr>
          </w:p>
        </w:tc>
      </w:tr>
      <w:tr w14:paraId="759F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C84E">
            <w:pPr>
              <w:jc w:val="center"/>
              <w:rPr>
                <w:rFonts w:hint="eastAsia" w:ascii="宋体" w:hAnsi="宋体" w:eastAsia="宋体" w:cs="宋体"/>
                <w:i w:val="0"/>
                <w:iCs w:val="0"/>
                <w:color w:val="auto"/>
                <w:sz w:val="22"/>
                <w:szCs w:val="22"/>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73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541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螺旋扫描最大螺距</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98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14:ligatures w14:val="standardContextual"/>
              </w:rPr>
              <w:t>≥1.5</w:t>
            </w:r>
          </w:p>
        </w:tc>
      </w:tr>
      <w:tr w14:paraId="09E0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19CA">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20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99BC">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门控和非门控融合扫描功能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8A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15B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C43">
            <w:pPr>
              <w:jc w:val="center"/>
              <w:rPr>
                <w:rFonts w:hint="eastAsia" w:ascii="宋体" w:hAnsi="宋体" w:eastAsia="宋体" w:cs="宋体"/>
                <w:i w:val="0"/>
                <w:iCs w:val="0"/>
                <w:color w:val="auto"/>
                <w:sz w:val="22"/>
                <w:szCs w:val="22"/>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D5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3F1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最薄扫描图像层厚</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7F14">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≤0.625mm</w:t>
            </w:r>
          </w:p>
        </w:tc>
      </w:tr>
      <w:tr w14:paraId="26EC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C4FA">
            <w:pPr>
              <w:jc w:val="center"/>
              <w:rPr>
                <w:rFonts w:hint="eastAsia" w:ascii="宋体" w:hAnsi="宋体" w:eastAsia="宋体" w:cs="宋体"/>
                <w:i w:val="0"/>
                <w:iCs w:val="0"/>
                <w:color w:val="auto"/>
                <w:sz w:val="22"/>
                <w:szCs w:val="22"/>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65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ED2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最大扫描FOV</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801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≥50cm</w:t>
            </w:r>
          </w:p>
        </w:tc>
      </w:tr>
      <w:tr w14:paraId="2460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DAC9">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3C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7.5</w:t>
            </w:r>
          </w:p>
        </w:tc>
        <w:tc>
          <w:tcPr>
            <w:tcW w:w="4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6BF5">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双能量（单套、双套、立体）扫描最大FOV</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B96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≥50cm</w:t>
            </w:r>
          </w:p>
        </w:tc>
      </w:tr>
      <w:tr w14:paraId="6786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249C">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DE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7.6</w:t>
            </w:r>
          </w:p>
        </w:tc>
        <w:tc>
          <w:tcPr>
            <w:tcW w:w="4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25F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最大扩展重建FOV</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154B">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≥60cm</w:t>
            </w:r>
          </w:p>
        </w:tc>
      </w:tr>
      <w:tr w14:paraId="2520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F596">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7F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7.7</w:t>
            </w:r>
          </w:p>
        </w:tc>
        <w:tc>
          <w:tcPr>
            <w:tcW w:w="4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9F6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最大图像重建矩阵</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1D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14:ligatures w14:val="standardContextual"/>
              </w:rPr>
              <w:t>≥1024x1024</w:t>
            </w:r>
          </w:p>
        </w:tc>
      </w:tr>
      <w:tr w14:paraId="2A8F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329B">
            <w:pPr>
              <w:jc w:val="center"/>
              <w:rPr>
                <w:rFonts w:hint="eastAsia" w:ascii="宋体" w:hAnsi="宋体" w:eastAsia="宋体" w:cs="宋体"/>
                <w:i w:val="0"/>
                <w:iCs w:val="0"/>
                <w:color w:val="auto"/>
                <w:sz w:val="22"/>
                <w:szCs w:val="22"/>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35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7.8</w:t>
            </w:r>
          </w:p>
        </w:tc>
        <w:tc>
          <w:tcPr>
            <w:tcW w:w="4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835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图像显示矩阵</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D86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14:ligatures w14:val="standardContextual"/>
              </w:rPr>
              <w:t>≥1024x1024</w:t>
            </w:r>
          </w:p>
        </w:tc>
      </w:tr>
      <w:tr w14:paraId="7425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5CA5">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B5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AB6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CT值范围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888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 xml:space="preserve"> -10000到+30000</w:t>
            </w:r>
          </w:p>
        </w:tc>
      </w:tr>
      <w:tr w14:paraId="344E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4413">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5D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7.10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E5F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图像重建速度</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4B5F">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≥60</w:t>
            </w:r>
            <w:r>
              <w:rPr>
                <w:rFonts w:hint="eastAsia" w:ascii="宋体" w:hAnsi="宋体" w:eastAsia="宋体" w:cs="宋体"/>
                <w:i w:val="0"/>
                <w:iCs w:val="0"/>
                <w:color w:val="auto"/>
                <w:kern w:val="0"/>
                <w:sz w:val="24"/>
                <w:szCs w:val="24"/>
                <w:highlight w:val="none"/>
                <w:u w:val="none"/>
                <w:lang w:val="en-US" w:eastAsia="zh-CN" w:bidi="ar"/>
                <w14:ligatures w14:val="standardContextual"/>
              </w:rPr>
              <w:t>幅</w:t>
            </w: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w:t>
            </w:r>
            <w:r>
              <w:rPr>
                <w:rFonts w:hint="eastAsia" w:ascii="宋体" w:hAnsi="宋体" w:eastAsia="宋体" w:cs="宋体"/>
                <w:i w:val="0"/>
                <w:iCs w:val="0"/>
                <w:color w:val="auto"/>
                <w:kern w:val="0"/>
                <w:sz w:val="24"/>
                <w:szCs w:val="24"/>
                <w:highlight w:val="none"/>
                <w:u w:val="none"/>
                <w:lang w:val="en-US" w:eastAsia="zh-CN" w:bidi="ar"/>
                <w14:ligatures w14:val="standardContextual"/>
              </w:rPr>
              <w:t>秒</w:t>
            </w:r>
          </w:p>
        </w:tc>
      </w:tr>
      <w:tr w14:paraId="579F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81BD">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CA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7.11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D30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具备散射伪影校正算法</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B5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C92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B2F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2E1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7.12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CA0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具备宽体锥束重建算法或迭代重建算法</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EA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6E8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659E">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C9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7.13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1A0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具备单能扫描去金属伪影算法</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F8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734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634B">
            <w:pPr>
              <w:jc w:val="center"/>
              <w:rPr>
                <w:rFonts w:hint="eastAsia" w:ascii="宋体" w:hAnsi="宋体" w:eastAsia="宋体" w:cs="宋体"/>
                <w:i w:val="0"/>
                <w:iCs w:val="0"/>
                <w:color w:val="auto"/>
                <w:sz w:val="22"/>
                <w:szCs w:val="22"/>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6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7.14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122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X-Y平面空间分辨率（</w:t>
            </w:r>
            <w:r>
              <w:rPr>
                <w:rFonts w:hint="default" w:ascii="Times New Roman" w:hAnsi="Times New Roman" w:eastAsia="仿宋_GB2312" w:cs="Times New Roman"/>
                <w:i w:val="0"/>
                <w:iCs w:val="0"/>
                <w:color w:val="auto"/>
                <w:kern w:val="0"/>
                <w:sz w:val="24"/>
                <w:szCs w:val="24"/>
                <w:highlight w:val="none"/>
                <w:u w:val="none"/>
                <w:lang w:val="en-US" w:eastAsia="zh-CN" w:bidi="ar"/>
                <w14:ligatures w14:val="standardContextual"/>
              </w:rPr>
              <w:t>MTF=0%</w:t>
            </w:r>
            <w:r>
              <w:rPr>
                <w:rStyle w:val="105"/>
                <w:rFonts w:hAnsi="宋体"/>
                <w:color w:val="auto"/>
                <w:highlight w:val="none"/>
                <w:lang w:val="en-US" w:eastAsia="zh-CN" w:bidi="ar"/>
                <w14:ligatures w14:val="standardContextual"/>
              </w:rPr>
              <w:t>）</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4DA6">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≥20 LP/cm</w:t>
            </w:r>
          </w:p>
        </w:tc>
      </w:tr>
      <w:tr w14:paraId="73B4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7555">
            <w:pPr>
              <w:jc w:val="center"/>
              <w:rPr>
                <w:rFonts w:hint="eastAsia" w:ascii="宋体" w:hAnsi="宋体" w:eastAsia="宋体" w:cs="宋体"/>
                <w:i w:val="0"/>
                <w:iCs w:val="0"/>
                <w:color w:val="auto"/>
                <w:sz w:val="22"/>
                <w:szCs w:val="22"/>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9D1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7.15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8A6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X-Y平面空间分辨率（</w:t>
            </w:r>
            <w:r>
              <w:rPr>
                <w:rFonts w:hint="default" w:ascii="Times New Roman" w:hAnsi="Times New Roman" w:eastAsia="仿宋_GB2312" w:cs="Times New Roman"/>
                <w:i w:val="0"/>
                <w:iCs w:val="0"/>
                <w:color w:val="auto"/>
                <w:kern w:val="0"/>
                <w:sz w:val="24"/>
                <w:szCs w:val="24"/>
                <w:highlight w:val="none"/>
                <w:u w:val="none"/>
                <w:lang w:val="en-US" w:eastAsia="zh-CN" w:bidi="ar"/>
                <w14:ligatures w14:val="standardContextual"/>
              </w:rPr>
              <w:t>MTF=10%</w:t>
            </w:r>
            <w:r>
              <w:rPr>
                <w:rStyle w:val="105"/>
                <w:rFonts w:hAnsi="宋体"/>
                <w:color w:val="auto"/>
                <w:highlight w:val="none"/>
                <w:lang w:val="en-US" w:eastAsia="zh-CN" w:bidi="ar"/>
                <w14:ligatures w14:val="standardContextual"/>
              </w:rPr>
              <w:t>）</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5DBD">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≥18 LP/cm</w:t>
            </w:r>
          </w:p>
        </w:tc>
      </w:tr>
      <w:tr w14:paraId="21AC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011E">
            <w:pPr>
              <w:jc w:val="center"/>
              <w:rPr>
                <w:rFonts w:hint="eastAsia" w:ascii="宋体" w:hAnsi="宋体" w:eastAsia="宋体" w:cs="宋体"/>
                <w:i w:val="0"/>
                <w:iCs w:val="0"/>
                <w:color w:val="auto"/>
                <w:sz w:val="22"/>
                <w:szCs w:val="22"/>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65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7.16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2FF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X-Y平面空间分辨率（</w:t>
            </w:r>
            <w:r>
              <w:rPr>
                <w:rFonts w:hint="default" w:ascii="Times New Roman" w:hAnsi="Times New Roman" w:eastAsia="仿宋_GB2312" w:cs="Times New Roman"/>
                <w:i w:val="0"/>
                <w:iCs w:val="0"/>
                <w:color w:val="auto"/>
                <w:kern w:val="0"/>
                <w:sz w:val="24"/>
                <w:szCs w:val="24"/>
                <w:highlight w:val="none"/>
                <w:u w:val="none"/>
                <w:lang w:val="en-US" w:eastAsia="zh-CN" w:bidi="ar"/>
                <w14:ligatures w14:val="standardContextual"/>
              </w:rPr>
              <w:t>MTF=50%</w:t>
            </w:r>
            <w:r>
              <w:rPr>
                <w:rStyle w:val="105"/>
                <w:rFonts w:hAnsi="宋体"/>
                <w:color w:val="auto"/>
                <w:highlight w:val="none"/>
                <w:lang w:val="en-US" w:eastAsia="zh-CN" w:bidi="ar"/>
                <w14:ligatures w14:val="standardContextual"/>
              </w:rPr>
              <w:t>）</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AD7B">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≥12LP/cm</w:t>
            </w:r>
          </w:p>
        </w:tc>
      </w:tr>
      <w:tr w14:paraId="2836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CDBE">
            <w:pPr>
              <w:jc w:val="center"/>
              <w:rPr>
                <w:rFonts w:hint="eastAsia" w:ascii="宋体" w:hAnsi="宋体" w:eastAsia="宋体" w:cs="宋体"/>
                <w:i w:val="0"/>
                <w:iCs w:val="0"/>
                <w:color w:val="auto"/>
                <w:sz w:val="22"/>
                <w:szCs w:val="22"/>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603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7.17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E20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低对比度分辨率</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D05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≤2mm@0.3%</w:t>
            </w:r>
          </w:p>
        </w:tc>
      </w:tr>
      <w:tr w14:paraId="417D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9E45">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3E51">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8</w:t>
            </w:r>
          </w:p>
        </w:tc>
        <w:tc>
          <w:tcPr>
            <w:tcW w:w="4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3866A">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心脏成像功能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F9BC">
            <w:pPr>
              <w:rPr>
                <w:rFonts w:hint="default" w:ascii="Times New Roman" w:hAnsi="Times New Roman" w:eastAsia="宋体" w:cs="Times New Roman"/>
                <w:i w:val="0"/>
                <w:iCs w:val="0"/>
                <w:color w:val="auto"/>
                <w:sz w:val="24"/>
                <w:szCs w:val="24"/>
                <w:highlight w:val="none"/>
                <w:u w:val="none"/>
              </w:rPr>
            </w:pPr>
          </w:p>
        </w:tc>
      </w:tr>
      <w:tr w14:paraId="59D4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3B58">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D0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8.1</w:t>
            </w:r>
          </w:p>
        </w:tc>
        <w:tc>
          <w:tcPr>
            <w:tcW w:w="4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60C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ECG实时监测</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8F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4F6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450D">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31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8.2</w:t>
            </w:r>
          </w:p>
        </w:tc>
        <w:tc>
          <w:tcPr>
            <w:tcW w:w="4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A8B0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ECG自动毫安调控功能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41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94B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36C8">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90F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8.3</w:t>
            </w:r>
          </w:p>
        </w:tc>
        <w:tc>
          <w:tcPr>
            <w:tcW w:w="4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4F46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不受心率和心律限制的前门控轴扫技术</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64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511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2D7B">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D1A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8.4</w:t>
            </w:r>
          </w:p>
        </w:tc>
        <w:tc>
          <w:tcPr>
            <w:tcW w:w="4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D67D5">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房颤病人的单心动周期冠脉成像技术</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D4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6F7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4C66">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F8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8.5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F34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不受心率和心律限制的单心动周期一站式心脏解剖+心功能成像技术</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54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9AB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917A">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7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8.6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224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主控台心电图显示和保存功能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5D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BA3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03E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F9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8.7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483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通过冠脉运动容积分析进行最佳期相自动选择</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88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781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B930">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22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8.8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425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智能异常心率管理：自动识别不规则心率、异常心率并自动重新扫描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49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7FF44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2C8E">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9F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8.9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515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成人低剂量心脏80kv检查功能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1946">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≤70KV</w:t>
            </w:r>
          </w:p>
        </w:tc>
      </w:tr>
      <w:tr w14:paraId="5C731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611F">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A8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8.10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3FB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小儿先心80kv检查功能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805B">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≤70KV</w:t>
            </w:r>
          </w:p>
        </w:tc>
      </w:tr>
      <w:tr w14:paraId="3EAE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7969">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4ECA">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1535">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4D扫描及灌注扫描功能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9C39">
            <w:pPr>
              <w:rPr>
                <w:rFonts w:hint="default" w:ascii="Times New Roman" w:hAnsi="Times New Roman" w:eastAsia="宋体" w:cs="Times New Roman"/>
                <w:i w:val="0"/>
                <w:iCs w:val="0"/>
                <w:color w:val="auto"/>
                <w:sz w:val="24"/>
                <w:szCs w:val="24"/>
                <w:highlight w:val="none"/>
                <w:u w:val="none"/>
              </w:rPr>
            </w:pPr>
          </w:p>
        </w:tc>
      </w:tr>
      <w:tr w14:paraId="5F7A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0116">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FA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9.1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DC4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单器官灌注非对称采样功能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71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0F2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630C">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2E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9.2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EBE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全脑一站式功能成像，一次对比剂注射，可以完成头颈部血管、全脑4D血流成像、全脑动态灌注成像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A2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603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3160">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EF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9.3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E09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脑卒中一站式联合扫描,一站式脑血管侧枝循环分析、全脑动态灌注扫描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F9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872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9BC8">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B4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9.4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F3E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全脑灌注功能的灌注范围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FDA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≥16cm</w:t>
            </w:r>
          </w:p>
        </w:tc>
      </w:tr>
      <w:tr w14:paraId="21E3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8001">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D0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9.5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655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低剂量灌注扫描：70kv输出灌注扫描模式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CE3E">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≤70KV</w:t>
            </w:r>
          </w:p>
        </w:tc>
      </w:tr>
      <w:tr w14:paraId="3DCB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E5D3">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3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9.6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4C1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低剂量肺扫描：70kv输出肺癌筛查模式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D98A">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≤70KV</w:t>
            </w:r>
          </w:p>
        </w:tc>
      </w:tr>
      <w:tr w14:paraId="3B3F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46A3">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69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9.7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E885">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70KV全脑灌注功能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6FEE">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≤70KV</w:t>
            </w:r>
          </w:p>
        </w:tc>
      </w:tr>
      <w:tr w14:paraId="6BA8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C56B">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73BE">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10</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64F3">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能量成像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1077">
            <w:pPr>
              <w:rPr>
                <w:rFonts w:hint="default" w:ascii="Times New Roman" w:hAnsi="Times New Roman" w:eastAsia="宋体" w:cs="Times New Roman"/>
                <w:i w:val="0"/>
                <w:iCs w:val="0"/>
                <w:color w:val="auto"/>
                <w:sz w:val="24"/>
                <w:szCs w:val="24"/>
                <w:highlight w:val="none"/>
                <w:u w:val="none"/>
              </w:rPr>
            </w:pPr>
          </w:p>
        </w:tc>
      </w:tr>
      <w:tr w14:paraId="2F83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E1CE">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0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10.1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F9C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最快能量时间分辨率下的能谱成像扫描FOV</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F72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≥50cm</w:t>
            </w:r>
          </w:p>
        </w:tc>
      </w:tr>
      <w:tr w14:paraId="54EB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B42E">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DC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10.2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2DD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操作台上同时自动重建能谱图像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3A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C16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D290">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E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10.3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454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操作台上重建能谱图像后直接发送能谱图像至PACS</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A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16B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FFC0">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1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10.4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13B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原始数据空间能谱分析功能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05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A0D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2832">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5A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10.5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D0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能重建出单能量图像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64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574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025C">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F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10.6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1533">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能重建出能谱曲线</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31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521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C6B7">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82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10.7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D2C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能重建出有效原子序数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76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9B7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40B3">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3F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10.8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53B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虚拟平扫技术</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DB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413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EB76">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44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10.9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C3D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能谱成像或者双能量成像下的最快双能量切换时间（能够在高能量KV和低能量KV进行能量切换的时间）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DCDF">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≤25ms</w:t>
            </w:r>
          </w:p>
        </w:tc>
      </w:tr>
      <w:tr w14:paraId="6EF1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DCDC">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73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10.10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813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双能量成像时的高能量KV数据</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AF0C">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≥140KV</w:t>
            </w:r>
          </w:p>
        </w:tc>
      </w:tr>
      <w:tr w14:paraId="5C23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D3ED">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3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10.11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73F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双能量成像时的低能量KV数据</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48AC">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14:ligatures w14:val="standardContextual"/>
              </w:rPr>
              <w:t>≤70KV</w:t>
            </w:r>
          </w:p>
        </w:tc>
      </w:tr>
      <w:tr w14:paraId="016D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8C4C">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17EB">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11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3DC">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能量成像分析平台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4E30">
            <w:pPr>
              <w:rPr>
                <w:rFonts w:hint="default" w:ascii="Times New Roman" w:hAnsi="Times New Roman" w:eastAsia="宋体" w:cs="Times New Roman"/>
                <w:i w:val="0"/>
                <w:iCs w:val="0"/>
                <w:color w:val="auto"/>
                <w:sz w:val="24"/>
                <w:szCs w:val="24"/>
                <w:highlight w:val="none"/>
                <w:u w:val="none"/>
              </w:rPr>
            </w:pPr>
          </w:p>
        </w:tc>
      </w:tr>
      <w:tr w14:paraId="6962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B9D3">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F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023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能量肌腱韧带成像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C2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39E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4C7A">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0C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6014">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能量结石分析功能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D8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BAC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4867">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C6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AD1C">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能量钙化斑块去除功能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26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2AE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33E2">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44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D96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能量痛风分析功能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00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202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6C05">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C5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3DB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能量肺结节分析功能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B1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04B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ADC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91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64D3">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能量肺栓塞分析功能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66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BA7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317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2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3C1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能量骨密度测量功能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94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C7A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973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D2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5EF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能量软组织类MR成像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5D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1296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4F6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BF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37C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能量甲状腺摄碘率定量分析功能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DA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7628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BF6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09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11.10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ECD4">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能量绿色尿路造影成像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3F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2DA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431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11.11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184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能量下肢静脉优化显像功能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54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7C1F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95F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AF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11.12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F23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能量胸水分析工具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86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7ECC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0BF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0F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11.13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F47C">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能量肝灌注分析工具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6B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F48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07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6D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11.14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144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能量尘肺成像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BD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616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D84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2D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11.15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CDA5">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能量肝脏含铁量成像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A8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1C8C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4B6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4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11.16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04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能量斑块成分成像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18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2636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72D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B4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11.17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77F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能量放化疗疗效分析工具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31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7573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91D9">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D471">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12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6E26">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原厂图像后处理工作站及应用软件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2A6B">
            <w:pPr>
              <w:rPr>
                <w:rFonts w:hint="default" w:ascii="Times New Roman" w:hAnsi="Times New Roman" w:eastAsia="宋体" w:cs="Times New Roman"/>
                <w:i w:val="0"/>
                <w:iCs w:val="0"/>
                <w:color w:val="auto"/>
                <w:sz w:val="24"/>
                <w:szCs w:val="24"/>
                <w:highlight w:val="none"/>
                <w:u w:val="none"/>
              </w:rPr>
            </w:pPr>
          </w:p>
        </w:tc>
      </w:tr>
      <w:tr w14:paraId="5EB1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5A84">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D3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6BB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原厂图像后处理工作站数量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8B7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≥2套</w:t>
            </w:r>
          </w:p>
        </w:tc>
      </w:tr>
      <w:tr w14:paraId="19F7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4837">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D7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4C3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放射科信息管理系统自动连接功能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27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8B1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D4FC">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61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21C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图像三维分析系统</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8A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4D7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FB2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3E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F41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具备多平面重建功能MPR</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8A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575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E550">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6C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CFC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最大密度投影MIP</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DA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D82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5377">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B8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06B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最小密度投影MinIP</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5D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230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805F">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D3B5">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容积三维重建(Volume Rendering)</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5C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DA2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65BD">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2E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2B8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容积仿真内窥镜功能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54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540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A31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6B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6CA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自动轮廓勾画</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AE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FDE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5E3D">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5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3F07">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序列对比工具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86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6AC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0D33">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BA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8E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动态三维分析工具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E0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899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F9E3">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35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081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曲面重建感兴趣区放置工具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5D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133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1EC6">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8D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12.3.10</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926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多期相融合分析技术</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E7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565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699F">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28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12.3.11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480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电影模式工具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64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138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86D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B0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12.3.12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0F3">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透明重建工具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C8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A62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07B1">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7C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12.3.13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6245">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自动中心工具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6E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C96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2F3B">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0E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12.3.14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F25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管腔分析工具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B7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1736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ABC">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0E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12.3.15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394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自动割手术刀模式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A4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839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131">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F6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874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CT 4D灌注软件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8D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7AE7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3506">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EB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A7A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通用灌注分析参数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BE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FAB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49AD">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8F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12.4.1.1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A7D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自动分析血容量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68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0B2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E307">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01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12.4.1.2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1B2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自动分析血流量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F6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F47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341D">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67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12.4.1.3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FB2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自动分析平均通过时间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3B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181C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DD95">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AF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12.4.1.4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9583">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自动分析毛细血管表面渗透性</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2D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E35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4AC2">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DA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12.4.1.5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1DE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自动分析对比剂到达时间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2F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571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3AF5">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FF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C15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灌注模板</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F9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EAB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4D08">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F8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12.4.2.1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BBF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标准灌注模板</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F4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ABD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7403">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D4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12.4.2.2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11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脑卒中灌注模板</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A5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7C6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C53A">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64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12.4.2.3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F48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脑肿瘤灌注模板</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D1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572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B14F">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09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12.4.2.4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BC6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体部肿瘤灌注模板</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81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F06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D33F">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81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12.4.2.5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558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软组织灌注模板</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3A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7069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8A2F">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08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78F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全自动肺结节分析软件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17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FD1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23B1">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B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3BB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全自动呼吸系统分析软件包</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E5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B4E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109F">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37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4E2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全自动去骨软件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1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1B09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2E71">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2E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780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能谱分析平台</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E2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09D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455C">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4A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4DC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全自动心脏分析软件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BD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1B00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CF70">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F9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12.9.1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BFF5">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冠状动脉树自动提取</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F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7BF5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7CB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4E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12.9.2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25E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冠状动脉名 称自动标识</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B7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2CE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362A">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FA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12.9.3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9A0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冠状动脉长度</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AE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942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65DD">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E9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12.9.4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39A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冠脉横断面积测量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1B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E32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98AC">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C5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12.9.5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0216">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冠脉狭窄度测量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34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6CA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BA87">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73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12.9.6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363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冠脉管腔体积测量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5F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427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1AFB">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33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12.9.7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FE2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冠脉平均直径测量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A4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B64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6496">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F9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12.9.8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3A19">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冠状斑块彩色编码定性分析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74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C42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55E8">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78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12.9.9</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D88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冠脉斑块体积定量分析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8B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1588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EAA5">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55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12.10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281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心功能自动分析软件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42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751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59C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7A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12.11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677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冠脉钙化积分软件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CD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3732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45E2">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14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 xml:space="preserve">12.12 </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5DD5">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全自动血管分析软件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39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9E1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7725">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D9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12.12.1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B22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CTA一站式重建功能</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43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4C52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4CC6">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FB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12.12.2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ED04">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自动血管循迹，提取和显示以及血管尺寸的测量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F4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11E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38CD">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B9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12.12.3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6AFF">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自动探查血管中轴</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3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7852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D209">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1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12.12.4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5185">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管腔曲面重建成像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95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AF9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CA3">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9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12.12.5</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822C">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最佳纵轴重建成像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51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29D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B72E">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8F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12.12.6</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091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对操作者选定血管节段进行定性和定量分析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E9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63F2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553E">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A3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12.12.7</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E75E">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通过全自动主动脉，髂动脉跟踪技术实现主动脉自动成像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CB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C4F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F9D2">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1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12.12.8</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6DED">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对血栓进行自动检测和分析</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84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78B8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CBCE">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8C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12.13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EADC">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全自动结肠自动分析软件包</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A3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1D921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A30C">
            <w:pPr>
              <w:jc w:val="center"/>
              <w:rPr>
                <w:rFonts w:hint="eastAsia" w:ascii="黑体" w:hAnsi="宋体" w:eastAsia="黑体" w:cs="黑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319E">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14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FDCC">
            <w:pPr>
              <w:keepNext w:val="0"/>
              <w:keepLines w:val="0"/>
              <w:widowControl/>
              <w:suppressLineNumbers w:val="0"/>
              <w:jc w:val="both"/>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14:ligatures w14:val="standardContextual"/>
              </w:rPr>
              <w:t>第三方设备，包括但不局限于</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A9C7">
            <w:pPr>
              <w:rPr>
                <w:rFonts w:hint="default" w:ascii="Times New Roman" w:hAnsi="Times New Roman" w:eastAsia="宋体" w:cs="Times New Roman"/>
                <w:i w:val="0"/>
                <w:iCs w:val="0"/>
                <w:color w:val="auto"/>
                <w:sz w:val="24"/>
                <w:szCs w:val="24"/>
                <w:highlight w:val="none"/>
                <w:u w:val="none"/>
              </w:rPr>
            </w:pPr>
          </w:p>
        </w:tc>
      </w:tr>
      <w:tr w14:paraId="7551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top"/>
          </w:tcPr>
          <w:p w14:paraId="5B4B9FA6">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C7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14.1</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D11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是否提供信息化的无线双筒高压注射器（如：高压注射数据可上传PACS）</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94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0C22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top"/>
          </w:tcPr>
          <w:p w14:paraId="281F0ACA">
            <w:pPr>
              <w:jc w:val="center"/>
              <w:rPr>
                <w:rFonts w:hint="eastAsia" w:ascii="仿宋_GB2312" w:hAnsi="宋体" w:eastAsia="仿宋_GB2312" w:cs="仿宋_GB2312"/>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C9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14.2</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25E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提供包括但不限于头套，膝垫、全套质控水模等附件，以及医用铅衣、铅手套、铅围脖、铅帽、铅毯等防辐射用品</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6A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26A5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876C">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A9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14.3</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206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人工智能影像辅助诊断软件(包括但不限于冠脉头颈CTA、肺结节、肋骨骨折、骨密度、骨龄等）</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4E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r w14:paraId="5955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17D9">
            <w:pPr>
              <w:jc w:val="center"/>
              <w:rPr>
                <w:rFonts w:hint="eastAsia" w:ascii="宋体" w:hAnsi="宋体" w:eastAsia="宋体" w:cs="宋体"/>
                <w:i w:val="0"/>
                <w:iCs w:val="0"/>
                <w:color w:val="auto"/>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70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14.4</w:t>
            </w:r>
          </w:p>
        </w:tc>
        <w:tc>
          <w:tcPr>
            <w:tcW w:w="4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8A5C">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14:ligatures w14:val="standardContextual"/>
              </w:rPr>
              <w:t>机房防护工程（防护方案、材料）</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36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14:ligatures w14:val="standardContextual"/>
              </w:rPr>
              <w:t>具备</w:t>
            </w:r>
          </w:p>
        </w:tc>
      </w:tr>
    </w:tbl>
    <w:p w14:paraId="45693D7E">
      <w:pPr>
        <w:pStyle w:val="9"/>
        <w:ind w:firstLine="480"/>
        <w:jc w:val="both"/>
        <w:rPr>
          <w:rFonts w:ascii="宋体" w:hAnsi="宋体" w:eastAsia="宋体" w:cs="宋体"/>
          <w:b/>
          <w:color w:val="auto"/>
          <w:sz w:val="24"/>
          <w:highlight w:val="none"/>
          <w:shd w:val="clear" w:color="auto" w:fill="FFFFFF"/>
          <w:lang w:eastAsia="zh-CN"/>
        </w:rPr>
      </w:pPr>
    </w:p>
    <w:p w14:paraId="2DBD7CAC">
      <w:pPr>
        <w:pStyle w:val="9"/>
        <w:ind w:firstLine="480"/>
        <w:jc w:val="both"/>
        <w:rPr>
          <w:rFonts w:ascii="宋体" w:hAnsi="宋体" w:eastAsia="宋体" w:cs="宋体"/>
          <w:b/>
          <w:color w:val="auto"/>
          <w:sz w:val="24"/>
          <w:highlight w:val="none"/>
          <w:shd w:val="clear" w:color="auto" w:fill="FFFFFF"/>
          <w:lang w:eastAsia="zh-CN"/>
        </w:rPr>
      </w:pPr>
    </w:p>
    <w:p w14:paraId="5FB6CD55">
      <w:pPr>
        <w:pStyle w:val="9"/>
        <w:ind w:firstLine="480"/>
        <w:jc w:val="both"/>
        <w:rPr>
          <w:rFonts w:ascii="宋体" w:hAnsi="宋体" w:eastAsia="宋体" w:cs="宋体"/>
          <w:b/>
          <w:color w:val="auto"/>
          <w:sz w:val="24"/>
          <w:highlight w:val="none"/>
          <w:shd w:val="clear" w:color="auto" w:fill="FFFFFF"/>
          <w:lang w:eastAsia="zh-CN"/>
        </w:rPr>
      </w:pPr>
    </w:p>
    <w:p w14:paraId="28F731CF">
      <w:pPr>
        <w:pStyle w:val="9"/>
        <w:ind w:firstLine="480"/>
        <w:jc w:val="both"/>
        <w:rPr>
          <w:b/>
          <w:color w:val="auto"/>
          <w:sz w:val="28"/>
          <w:highlight w:val="none"/>
        </w:rPr>
      </w:pPr>
      <w:r>
        <w:rPr>
          <w:rFonts w:hint="eastAsia"/>
          <w:b/>
          <w:color w:val="auto"/>
          <w:sz w:val="28"/>
          <w:highlight w:val="none"/>
          <w:lang w:val="en-US" w:eastAsia="zh-CN"/>
        </w:rPr>
        <w:t>二</w:t>
      </w:r>
      <w:r>
        <w:rPr>
          <w:b/>
          <w:color w:val="auto"/>
          <w:sz w:val="28"/>
          <w:highlight w:val="none"/>
        </w:rPr>
        <w:t>、商务要求（★）</w:t>
      </w:r>
    </w:p>
    <w:p w14:paraId="71E37776">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1、交付地点：福建省各设备配置医院指定地点</w:t>
      </w:r>
      <w:r>
        <w:rPr>
          <w:rFonts w:hint="eastAsia" w:ascii="宋体" w:hAnsi="宋体" w:eastAsia="宋体" w:cs="宋体"/>
          <w:b/>
          <w:color w:val="auto"/>
          <w:kern w:val="0"/>
          <w:sz w:val="24"/>
          <w:szCs w:val="20"/>
          <w:highlight w:val="none"/>
          <w:shd w:val="clear" w:color="auto" w:fill="FFFFFF"/>
        </w:rPr>
        <w:br w:type="textWrapping"/>
      </w:r>
      <w:r>
        <w:rPr>
          <w:rFonts w:hint="eastAsia" w:ascii="宋体" w:hAnsi="宋体" w:eastAsia="宋体" w:cs="宋体"/>
          <w:b/>
          <w:color w:val="auto"/>
          <w:kern w:val="0"/>
          <w:sz w:val="24"/>
          <w:szCs w:val="20"/>
          <w:highlight w:val="none"/>
          <w:shd w:val="clear" w:color="auto" w:fill="FFFFFF"/>
        </w:rPr>
        <w:t>2、交付时间：</w:t>
      </w:r>
      <w:r>
        <w:rPr>
          <w:rFonts w:hint="eastAsia" w:ascii="宋体" w:hAnsi="宋体" w:eastAsia="宋体" w:cs="宋体"/>
          <w:b/>
          <w:color w:val="auto"/>
          <w:kern w:val="0"/>
          <w:sz w:val="24"/>
          <w:szCs w:val="20"/>
          <w:highlight w:val="none"/>
          <w:shd w:val="clear" w:color="auto" w:fill="FFFFFF"/>
          <w:lang w:eastAsia="zh-CN"/>
        </w:rPr>
        <w:t>接到院方书面通知后</w:t>
      </w:r>
      <w:r>
        <w:rPr>
          <w:rFonts w:hint="eastAsia" w:ascii="宋体" w:hAnsi="宋体" w:eastAsia="宋体" w:cs="宋体"/>
          <w:b/>
          <w:color w:val="auto"/>
          <w:kern w:val="0"/>
          <w:sz w:val="24"/>
          <w:szCs w:val="20"/>
          <w:highlight w:val="none"/>
          <w:shd w:val="clear" w:color="auto" w:fill="FFFFFF"/>
        </w:rPr>
        <w:t>( 60)天内交货</w:t>
      </w:r>
      <w:r>
        <w:rPr>
          <w:rFonts w:hint="eastAsia" w:ascii="宋体" w:hAnsi="宋体" w:eastAsia="宋体" w:cs="宋体"/>
          <w:b/>
          <w:color w:val="auto"/>
          <w:kern w:val="0"/>
          <w:sz w:val="24"/>
          <w:szCs w:val="20"/>
          <w:highlight w:val="none"/>
          <w:shd w:val="clear" w:color="auto" w:fill="FFFFFF"/>
        </w:rPr>
        <w:br w:type="textWrapping"/>
      </w:r>
      <w:r>
        <w:rPr>
          <w:rFonts w:hint="eastAsia" w:ascii="宋体" w:hAnsi="宋体" w:eastAsia="宋体" w:cs="宋体"/>
          <w:b/>
          <w:color w:val="auto"/>
          <w:kern w:val="0"/>
          <w:sz w:val="24"/>
          <w:szCs w:val="20"/>
          <w:highlight w:val="none"/>
          <w:shd w:val="clear" w:color="auto" w:fill="FFFFFF"/>
        </w:rPr>
        <w:t>3、交付条件：到货并安装、验收完毕付合同款</w:t>
      </w:r>
      <w:r>
        <w:rPr>
          <w:rFonts w:hint="eastAsia" w:ascii="宋体" w:hAnsi="宋体" w:eastAsia="宋体" w:cs="宋体"/>
          <w:b/>
          <w:color w:val="auto"/>
          <w:kern w:val="0"/>
          <w:sz w:val="24"/>
          <w:szCs w:val="20"/>
          <w:highlight w:val="none"/>
          <w:shd w:val="clear" w:color="auto" w:fill="FFFFFF"/>
        </w:rPr>
        <w:br w:type="textWrapping"/>
      </w:r>
      <w:r>
        <w:rPr>
          <w:rFonts w:hint="eastAsia" w:ascii="宋体" w:hAnsi="宋体" w:eastAsia="宋体" w:cs="宋体"/>
          <w:b/>
          <w:color w:val="auto"/>
          <w:kern w:val="0"/>
          <w:sz w:val="24"/>
          <w:szCs w:val="20"/>
          <w:highlight w:val="none"/>
          <w:shd w:val="clear" w:color="auto" w:fill="FFFFFF"/>
        </w:rPr>
        <w:t>4、是否收取履约保证金：否</w:t>
      </w:r>
      <w:r>
        <w:rPr>
          <w:rFonts w:hint="eastAsia" w:ascii="宋体" w:hAnsi="宋体" w:eastAsia="宋体" w:cs="宋体"/>
          <w:b/>
          <w:color w:val="auto"/>
          <w:kern w:val="0"/>
          <w:sz w:val="24"/>
          <w:szCs w:val="20"/>
          <w:highlight w:val="none"/>
          <w:shd w:val="clear" w:color="auto" w:fill="FFFFFF"/>
        </w:rPr>
        <w:br w:type="textWrapping"/>
      </w:r>
      <w:r>
        <w:rPr>
          <w:rFonts w:hint="eastAsia" w:ascii="宋体" w:hAnsi="宋体" w:eastAsia="宋体" w:cs="宋体"/>
          <w:b/>
          <w:color w:val="auto"/>
          <w:kern w:val="0"/>
          <w:sz w:val="24"/>
          <w:szCs w:val="20"/>
          <w:highlight w:val="none"/>
          <w:shd w:val="clear" w:color="auto" w:fill="FFFFFF"/>
        </w:rPr>
        <w:t>5、是否邀请投标人参与验收：否</w:t>
      </w:r>
      <w:r>
        <w:rPr>
          <w:rFonts w:hint="eastAsia" w:ascii="宋体" w:hAnsi="宋体" w:eastAsia="宋体" w:cs="宋体"/>
          <w:b/>
          <w:color w:val="auto"/>
          <w:kern w:val="0"/>
          <w:sz w:val="24"/>
          <w:szCs w:val="20"/>
          <w:highlight w:val="none"/>
          <w:shd w:val="clear" w:color="auto" w:fill="FFFFFF"/>
        </w:rPr>
        <w:br w:type="textWrapping"/>
      </w:r>
      <w:r>
        <w:rPr>
          <w:rFonts w:hint="eastAsia" w:ascii="宋体" w:hAnsi="宋体" w:eastAsia="宋体" w:cs="宋体"/>
          <w:b/>
          <w:color w:val="auto"/>
          <w:kern w:val="0"/>
          <w:sz w:val="24"/>
          <w:szCs w:val="20"/>
          <w:highlight w:val="none"/>
          <w:shd w:val="clear" w:color="auto" w:fill="FFFFFF"/>
        </w:rPr>
        <w:t>6、验收方式：按照国家相关标准、行业标准及招标文件要求执行。</w:t>
      </w:r>
    </w:p>
    <w:p w14:paraId="4D66CD23">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7、支付方式：</w:t>
      </w:r>
    </w:p>
    <w:p w14:paraId="44F5387E">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（1）第一期：合同签订后，支付合同金额的10%，同时中标人应提供银行出具的100%预付款退款保函。</w:t>
      </w:r>
    </w:p>
    <w:p w14:paraId="48D895B9">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2）第二期：签订合同，货物验收合格后，按照医院流程支付至合同金额的90%，医院付款进度原则上不超过验收合格后60天。（本项目为非专门面向中小企业的政府采购项目，若中标人提供的所有货物均由中小企业制造，并按招标文件要求在投标文件中提供合格的“中小企业声明函”的，医院应在验收合格之日起60日内支付至合同金额的100%。）</w:t>
      </w:r>
    </w:p>
    <w:p w14:paraId="3A5D3B28">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（3）第三期：验收合格一年后支付余款10%。（中标人提供的货物非中小企业制造的适用。）</w:t>
      </w:r>
    </w:p>
    <w:p w14:paraId="22B07C22">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8、货物包装方式</w:t>
      </w:r>
    </w:p>
    <w:p w14:paraId="2471311A">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8.1包装：货物交货时应按《商品包装政府采购需求标准（试行）》及国家有关标准要求进行包装。</w:t>
      </w:r>
    </w:p>
    <w:p w14:paraId="13C71430">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8.2方式：包装必须与运输方式相适应，包装方式的确定及包装费用均由中标人负责；由于不适当的包装而造成货物在运输过程中有任何损坏由中标人负责。</w:t>
      </w:r>
    </w:p>
    <w:p w14:paraId="14B7A02C">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8.3包装应足以承受整个过程中的运输、转运、装卸、储存等，充分考虑到运输途中的各种情况(如暴露于恶劣气候等)和项目所在地的气候特点，以及露天存放的需要。</w:t>
      </w:r>
    </w:p>
    <w:p w14:paraId="5D5A53DC">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9、安装与调试</w:t>
      </w:r>
    </w:p>
    <w:p w14:paraId="4232847C">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9.1安装与验收</w:t>
      </w:r>
    </w:p>
    <w:p w14:paraId="50C0E8DB">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9.1.1安装</w:t>
      </w:r>
    </w:p>
    <w:p w14:paraId="5E5C0E37">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9.1.1.1合同签订后，由中标人负责将设备按签订合同的具体数量、具体地点运送到最终目的地。并负责派技术人员到现场进行安装、调试，并负责调试至验收合格交付配置医院使用。</w:t>
      </w:r>
    </w:p>
    <w:p w14:paraId="31320786">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9.1.1.2中标人负责组织专业技术人员进行货物安装调试，配置医院应提供必须的基本条件和专人配合，保证各项安装工作顺利进行。</w:t>
      </w:r>
    </w:p>
    <w:p w14:paraId="48BA4193">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9.1.1.3中标人应在合同签订时，向配置医院提供安装及试运行的进度计划表。</w:t>
      </w:r>
    </w:p>
    <w:p w14:paraId="5B16DCCC">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9.1.1.4设备到达最终采购人现场后，中标人的工程师到采购人的现场安装设备，同时应向配置医院介绍设备功能及特殊分析并进行现场演示。</w:t>
      </w:r>
    </w:p>
    <w:p w14:paraId="1928A394">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9.1.1.5设备进场后须在接到医院安装通知后在规定的时间内安装调试完毕并交付使用。</w:t>
      </w:r>
    </w:p>
    <w:p w14:paraId="22F20FD0">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9.1.1.6中标人提供的配置应符合临床应用要求。</w:t>
      </w:r>
    </w:p>
    <w:p w14:paraId="024867EA">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9.1.2验收</w:t>
      </w:r>
    </w:p>
    <w:p w14:paraId="41D82935">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9.1.2.1验收标准</w:t>
      </w:r>
    </w:p>
    <w:p w14:paraId="43927208">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6D9B53F6">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9.1.2.2验收程序和方法</w:t>
      </w:r>
    </w:p>
    <w:p w14:paraId="53427FA4">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9.1.2.2.1出厂检验</w:t>
      </w:r>
    </w:p>
    <w:p w14:paraId="59998A79">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9.1.2.1款验收标准的要求。</w:t>
      </w:r>
    </w:p>
    <w:p w14:paraId="0FA3198C">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9.1.2.2.2初验收：</w:t>
      </w:r>
    </w:p>
    <w:p w14:paraId="7A12A1DB">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由中标人和配置医院共同对设备的数量、质量、外包装等根据本章节的有关规定逐项检验。</w:t>
      </w:r>
    </w:p>
    <w:p w14:paraId="357694B8">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9.1.2.2.3试运行：</w:t>
      </w:r>
    </w:p>
    <w:p w14:paraId="5533A35E">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6E52D7C2">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9.1.2.2.4最终验收：</w:t>
      </w:r>
    </w:p>
    <w:p w14:paraId="0DCAC85B">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1D8B4F40">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9.1.2.3中标人在配置医院安装现场进行最终验收所产生的一切费用由中标人承担（并入投标报价内）。</w:t>
      </w:r>
    </w:p>
    <w:p w14:paraId="1125C476">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9.1.2.4若验收不能符合要求，设备配置医院将按合同条款的有关规定执行。</w:t>
      </w:r>
    </w:p>
    <w:p w14:paraId="4CE428AA">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9.1.2.5 若采购人或设备配置医院在项目验收环节要求中标人对所投产品提供经国家认可的具备检测资质的第三方检测机构出具的合法有效的检测报告，中标人应免费提供。</w:t>
      </w:r>
    </w:p>
    <w:p w14:paraId="5A6357F7">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9.2、技术资料要求:中标人需提供本项目全套设备配置清单（详列名 称、品 牌型号、数量、原 产地等）。中标人应向配置医院提供以下目录的技术资料壹套（各项指标和参数应符合验收标准，采购人有权委托中国 有资格单位或机构对设备性能、精度进行校核）。</w:t>
      </w:r>
    </w:p>
    <w:p w14:paraId="5CCAF1AD">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9.2.1出厂明细表(装箱单)；</w:t>
      </w:r>
    </w:p>
    <w:p w14:paraId="5FCCDB2E">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9.2.2出厂检验报告和合格证书；</w:t>
      </w:r>
    </w:p>
    <w:p w14:paraId="3B926355">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9.2.3使用说明书；</w:t>
      </w:r>
    </w:p>
    <w:p w14:paraId="27DC175E">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9.2.4安装手册、操作手册、维修手册；</w:t>
      </w:r>
    </w:p>
    <w:p w14:paraId="62BAF1DB">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9.2.5零部件目录；</w:t>
      </w:r>
    </w:p>
    <w:p w14:paraId="45899C4F">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9.2.6相关文件、支持程序软盘或光盘；</w:t>
      </w:r>
    </w:p>
    <w:p w14:paraId="2B5614A8">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9.2.7提供原 产地制造商的产品证明；</w:t>
      </w:r>
    </w:p>
    <w:p w14:paraId="54B265A7">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9.2.8合同中要求的其它文件资料。</w:t>
      </w:r>
    </w:p>
    <w:p w14:paraId="57FD18F0">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9.3、专用工具</w:t>
      </w:r>
    </w:p>
    <w:p w14:paraId="4508BA8E">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9.3.1中标人应向配置医院提供一套维修所需的专用工具及清单(清单附在投标文件中)。</w:t>
      </w:r>
    </w:p>
    <w:p w14:paraId="45B1DCF3">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9.4、特殊工具</w:t>
      </w:r>
    </w:p>
    <w:p w14:paraId="33DC3A88">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9.4.1中标人应向配置医院提供货物安装和维修所需的特殊工具及清单和中文说明书，其费用包括在投标总价内。</w:t>
      </w:r>
    </w:p>
    <w:p w14:paraId="50E1A725">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10、售后服务要求</w:t>
      </w:r>
    </w:p>
    <w:p w14:paraId="5F9E3C9A">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10.1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免费保修期满前1个月内中标人应负责对设备进行一次免费全面检查，如发现潜在问题，应负责排除，保证设备正常运行。</w:t>
      </w:r>
    </w:p>
    <w:p w14:paraId="5B551719">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10.2为保障设备的维修及病人的利益，中标人在国内设置维修服务点且维修点至省内各设市区正常汽车车程不超过4个小时（提供路程说明及驻点的地址、照片、房产证或租赁合同复印件等可证明材料）。</w:t>
      </w:r>
    </w:p>
    <w:p w14:paraId="077DEB4A">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10.3为了保障设备的应急维修，中标人需提供驻维修服务点售后工程师不少于2人（投标人应提供工程师人员名单、身份证号、提供投标截止时间前六个月（不含投标截止时间的当月）中任一月份的在职社保证明、能维修所投设备工程师的相关证件或证明材料）。</w:t>
      </w:r>
    </w:p>
    <w:p w14:paraId="57ECA69D">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10.4质量保证期结束后，中标人应在设备使用地区指 定有维修能力的代 理机构对设备在必要时进行定期维护和修理。</w:t>
      </w:r>
    </w:p>
    <w:p w14:paraId="08C42BEF">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10.5质量保证期后的服务要求</w:t>
      </w:r>
    </w:p>
    <w:p w14:paraId="02DF8911">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10.5.1质保期结束后，中标人仍应负责对设备提供售后 服务，并保障备品配件的供应。</w:t>
      </w:r>
    </w:p>
    <w:p w14:paraId="0728145A">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10.5.2投标人应在投标文件中详细提供售后 服务承诺、保障措施、保修期内的维保范围和内容、保修期后的维保服务内容，并在纸质投标文件报价部分中提供服务费用的报价清单。投标人须在投标文件中承诺质量保证期后的服务不收取上门服务人工及差旅费。</w:t>
      </w:r>
    </w:p>
    <w:p w14:paraId="41394909">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10.6 中标人应免费提供远程维修诊断系统（根据设备配置单位需要）；终身免费提供故障及维修代码；提供免费保修电话；提供400或800报修电话号码。</w:t>
      </w:r>
    </w:p>
    <w:p w14:paraId="340080CA">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11、技术培训</w:t>
      </w:r>
    </w:p>
    <w:p w14:paraId="6BC11A49">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11.1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5AC5D4D8">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12、备品备件</w:t>
      </w:r>
    </w:p>
    <w:p w14:paraId="5B253DFF">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12.1中标人应提供设备在</w:t>
      </w:r>
      <w:r>
        <w:rPr>
          <w:rFonts w:hint="eastAsia" w:ascii="宋体" w:hAnsi="宋体" w:eastAsia="宋体" w:cs="宋体"/>
          <w:b/>
          <w:color w:val="auto"/>
          <w:kern w:val="0"/>
          <w:sz w:val="24"/>
          <w:szCs w:val="20"/>
          <w:highlight w:val="none"/>
          <w:shd w:val="clear" w:color="auto" w:fill="FFFFFF"/>
          <w:lang w:eastAsia="zh-CN"/>
        </w:rPr>
        <w:t>免费维保期</w:t>
      </w:r>
      <w:r>
        <w:rPr>
          <w:rFonts w:hint="eastAsia" w:ascii="宋体" w:hAnsi="宋体" w:eastAsia="宋体" w:cs="宋体"/>
          <w:b/>
          <w:color w:val="auto"/>
          <w:kern w:val="0"/>
          <w:sz w:val="24"/>
          <w:szCs w:val="20"/>
          <w:highlight w:val="none"/>
          <w:shd w:val="clear" w:color="auto" w:fill="FFFFFF"/>
        </w:rPr>
        <w:t>过后所需的备品备件清单（含价格清单，价格清单应在报价标部分列明，并说明此价格清单为该备品配件的最高限价）。</w:t>
      </w:r>
    </w:p>
    <w:p w14:paraId="2E75EFDD">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12.2中标人应在中华人民共和国境内设有备品备件保税库（注明详细地址），且备品配件可保证供应10年以上。投标人应保证能迅速快捷地提供设备的备品备件。</w:t>
      </w:r>
    </w:p>
    <w:p w14:paraId="569BD3A6">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13、违约责任</w:t>
      </w:r>
    </w:p>
    <w:p w14:paraId="5D0ADA07">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13.1因中标人原因造成采购合同无法按时签订，视为中标人违约，中标人违约对采购人造成的损失的，需另行支付相应的赔偿。</w:t>
      </w:r>
    </w:p>
    <w:p w14:paraId="63ED5A50">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13.2在签订采购合同之后，中标人要求解除合同的，视为中标人违约，对采购人造成的损失的，中标人需支付相应的赔偿。</w:t>
      </w:r>
    </w:p>
    <w:p w14:paraId="42DA1518">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13.3因中标人原因发生重大质量事故，除依约承担赔偿责任外，还将按有关质量管理办法规定执行。同时，采购人有权保留更换中标人的权利，并报相关行政主管部门处罚。</w:t>
      </w:r>
    </w:p>
    <w:p w14:paraId="3BBC1624">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13.4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3965122D">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13.5在明确违约责任后，中标人应在接到书面通知书起七天内支付违约金、赔偿金等。</w:t>
      </w:r>
    </w:p>
    <w:p w14:paraId="3C0BE167">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14、知识产权</w:t>
      </w:r>
    </w:p>
    <w:p w14:paraId="385D1FA1">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39A40181">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15、仲裁、诉讼条款</w:t>
      </w:r>
    </w:p>
    <w:p w14:paraId="300A8B69">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因采购或与采购合同有关的一切事项发生争议，由采购人和中标人双方友好协商解决。协商不成的，任何一方均可选择以下方式解决：</w:t>
      </w:r>
    </w:p>
    <w:p w14:paraId="3662E3AC">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(1)向采购人所在地仲裁委员会申请仲裁；</w:t>
      </w:r>
    </w:p>
    <w:p w14:paraId="483C38F0">
      <w:pPr>
        <w:pStyle w:val="9"/>
        <w:ind w:firstLine="480"/>
        <w:rPr>
          <w:rFonts w:hint="eastAsia" w:ascii="宋体" w:hAnsi="宋体" w:eastAsia="宋体" w:cs="宋体"/>
          <w:b/>
          <w:color w:val="auto"/>
          <w:kern w:val="0"/>
          <w:sz w:val="24"/>
          <w:szCs w:val="20"/>
          <w:highlight w:val="none"/>
          <w:shd w:val="clear" w:color="auto" w:fill="FFFFFF"/>
        </w:rPr>
      </w:pPr>
      <w:r>
        <w:rPr>
          <w:rFonts w:hint="eastAsia" w:ascii="宋体" w:hAnsi="宋体" w:eastAsia="宋体" w:cs="宋体"/>
          <w:b/>
          <w:color w:val="auto"/>
          <w:kern w:val="0"/>
          <w:sz w:val="24"/>
          <w:szCs w:val="20"/>
          <w:highlight w:val="none"/>
          <w:shd w:val="clear" w:color="auto" w:fill="FFFFFF"/>
        </w:rPr>
        <w:t>(2)向有管辖权的人民法院提起诉讼。</w:t>
      </w: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CD78BB-9953-4A4A-B946-9EEF47B37D3A}"/>
  </w:font>
  <w:font w:name="黑体">
    <w:panose1 w:val="02010609060101010101"/>
    <w:charset w:val="86"/>
    <w:family w:val="auto"/>
    <w:pitch w:val="default"/>
    <w:sig w:usb0="800002BF" w:usb1="38CF7CFA" w:usb2="00000016" w:usb3="00000000" w:csb0="00040001" w:csb1="00000000"/>
    <w:embedRegular r:id="rId2" w:fontKey="{40D2CAD4-8BD3-43AB-9467-98D8C2E270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4D5BA340-5B84-4D07-93A6-CB51AAE7BB89}"/>
  </w:font>
  <w:font w:name="等线 Light">
    <w:panose1 w:val="02010600030101010101"/>
    <w:charset w:val="86"/>
    <w:family w:val="auto"/>
    <w:pitch w:val="default"/>
    <w:sig w:usb0="A00002BF" w:usb1="38CF7CFA" w:usb2="00000016" w:usb3="00000000" w:csb0="0004000F" w:csb1="00000000"/>
  </w:font>
  <w:font w:name="Sabon Next LT">
    <w:altName w:val="Segoe Print"/>
    <w:panose1 w:val="00000000000000000000"/>
    <w:charset w:val="00"/>
    <w:family w:val="auto"/>
    <w:pitch w:val="default"/>
    <w:sig w:usb0="00000000" w:usb1="00000000" w:usb2="00010000" w:usb3="00000000" w:csb0="0000019F" w:csb1="00000000"/>
  </w:font>
  <w:font w:name="微软雅黑">
    <w:panose1 w:val="020B0503020204020204"/>
    <w:charset w:val="86"/>
    <w:family w:val="swiss"/>
    <w:pitch w:val="default"/>
    <w:sig w:usb0="80000287" w:usb1="2ACF3C50" w:usb2="00000016" w:usb3="00000000" w:csb0="0004001F" w:csb1="00000000"/>
  </w:font>
  <w:font w:name="DejaVuSans">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embedRegular r:id="rId4" w:fontKey="{47580D94-B40C-4AA4-8399-B0CECD186C52}"/>
  </w:font>
  <w:font w:name="方正小标宋简体">
    <w:panose1 w:val="02000000000000000000"/>
    <w:charset w:val="86"/>
    <w:family w:val="auto"/>
    <w:pitch w:val="default"/>
    <w:sig w:usb0="00000001" w:usb1="08000000" w:usb2="00000000" w:usb3="00000000" w:csb0="00040000" w:csb1="00000000"/>
    <w:embedRegular r:id="rId5" w:fontKey="{4937789F-54DA-4323-8A73-C4A2600AF824}"/>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26C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378AD">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3378AD">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5MGRkNDIxODYxNzk5NmIzMGQ3YWYyNGYzMmZkYTkifQ=="/>
  </w:docVars>
  <w:rsids>
    <w:rsidRoot w:val="006616E0"/>
    <w:rsid w:val="0002715A"/>
    <w:rsid w:val="000F58BF"/>
    <w:rsid w:val="00146364"/>
    <w:rsid w:val="001B62E2"/>
    <w:rsid w:val="00335792"/>
    <w:rsid w:val="00344E3F"/>
    <w:rsid w:val="00426D72"/>
    <w:rsid w:val="00547292"/>
    <w:rsid w:val="00597050"/>
    <w:rsid w:val="005C7092"/>
    <w:rsid w:val="00650272"/>
    <w:rsid w:val="006616E0"/>
    <w:rsid w:val="00674BF7"/>
    <w:rsid w:val="006F4B59"/>
    <w:rsid w:val="007A7123"/>
    <w:rsid w:val="008062F0"/>
    <w:rsid w:val="00857C65"/>
    <w:rsid w:val="008A313B"/>
    <w:rsid w:val="008B3F66"/>
    <w:rsid w:val="00923E7F"/>
    <w:rsid w:val="00B71B03"/>
    <w:rsid w:val="00CF6AFD"/>
    <w:rsid w:val="00D54F28"/>
    <w:rsid w:val="00DE4FF0"/>
    <w:rsid w:val="00E470B9"/>
    <w:rsid w:val="00E622B2"/>
    <w:rsid w:val="00FF6059"/>
    <w:rsid w:val="02847E51"/>
    <w:rsid w:val="09F21FD1"/>
    <w:rsid w:val="14446E4D"/>
    <w:rsid w:val="16654380"/>
    <w:rsid w:val="17984881"/>
    <w:rsid w:val="186A0537"/>
    <w:rsid w:val="1CB539FC"/>
    <w:rsid w:val="1E164317"/>
    <w:rsid w:val="24B806BF"/>
    <w:rsid w:val="298B59C3"/>
    <w:rsid w:val="2DC914AE"/>
    <w:rsid w:val="36C604FF"/>
    <w:rsid w:val="425A1343"/>
    <w:rsid w:val="4A69389D"/>
    <w:rsid w:val="4D853827"/>
    <w:rsid w:val="50261E4C"/>
    <w:rsid w:val="5C0053CB"/>
    <w:rsid w:val="5E4F4930"/>
    <w:rsid w:val="61E33ADD"/>
    <w:rsid w:val="649D1843"/>
    <w:rsid w:val="65077C08"/>
    <w:rsid w:val="6F7A0731"/>
    <w:rsid w:val="75D46961"/>
    <w:rsid w:val="7C2E7E0D"/>
    <w:rsid w:val="7FF07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null3"/>
    <w:hidden/>
    <w:qFormat/>
    <w:uiPriority w:val="0"/>
    <w:rPr>
      <w:rFonts w:hint="eastAsia" w:asciiTheme="minorHAnsi" w:hAnsiTheme="minorHAnsi" w:eastAsiaTheme="minorEastAsia" w:cstheme="minorBidi"/>
      <w:kern w:val="0"/>
      <w:sz w:val="20"/>
      <w:szCs w:val="20"/>
      <w:lang w:val="en-US" w:eastAsia="zh-Hans" w:bidi="ar-SA"/>
      <w14:ligatures w14:val="standardContextual"/>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2"/>
      <w:szCs w:val="22"/>
      <w14:ligatures w14:val="none"/>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5">
    <w:name w:val="font7"/>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17">
    <w:name w:val="font9"/>
    <w:basedOn w:val="1"/>
    <w:qFormat/>
    <w:uiPriority w:val="0"/>
    <w:pPr>
      <w:widowControl/>
      <w:spacing w:before="100" w:beforeAutospacing="1" w:after="100" w:afterAutospacing="1"/>
      <w:jc w:val="left"/>
    </w:pPr>
    <w:rPr>
      <w:rFonts w:ascii="Sabon Next LT" w:hAnsi="Sabon Next LT" w:eastAsia="宋体" w:cs="Sabon Next LT"/>
      <w:kern w:val="0"/>
      <w:sz w:val="22"/>
      <w:szCs w:val="22"/>
      <w14:ligatures w14:val="none"/>
    </w:rPr>
  </w:style>
  <w:style w:type="paragraph" w:customStyle="1" w:styleId="18">
    <w:name w:val="font10"/>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19">
    <w:name w:val="font11"/>
    <w:basedOn w:val="1"/>
    <w:qFormat/>
    <w:uiPriority w:val="0"/>
    <w:pPr>
      <w:widowControl/>
      <w:spacing w:before="100" w:beforeAutospacing="1" w:after="100" w:afterAutospacing="1"/>
      <w:jc w:val="left"/>
    </w:pPr>
    <w:rPr>
      <w:rFonts w:ascii="Sabon Next LT" w:hAnsi="Sabon Next LT" w:eastAsia="宋体" w:cs="Sabon Next LT"/>
      <w:color w:val="000000"/>
      <w:kern w:val="0"/>
      <w:sz w:val="22"/>
      <w:szCs w:val="22"/>
      <w14:ligatures w14:val="none"/>
    </w:rPr>
  </w:style>
  <w:style w:type="paragraph" w:customStyle="1" w:styleId="20">
    <w:name w:val="font12"/>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1">
    <w:name w:val="font13"/>
    <w:basedOn w:val="1"/>
    <w:qFormat/>
    <w:uiPriority w:val="0"/>
    <w:pPr>
      <w:widowControl/>
      <w:spacing w:before="100" w:beforeAutospacing="1" w:after="100" w:afterAutospacing="1"/>
      <w:jc w:val="left"/>
    </w:pPr>
    <w:rPr>
      <w:rFonts w:ascii="Times New Roman" w:hAnsi="Times New Roman" w:eastAsia="宋体" w:cs="Times New Roman"/>
      <w:b/>
      <w:bCs/>
      <w:kern w:val="0"/>
      <w:sz w:val="22"/>
      <w:szCs w:val="22"/>
      <w14:ligatures w14:val="none"/>
    </w:rPr>
  </w:style>
  <w:style w:type="paragraph" w:customStyle="1" w:styleId="22">
    <w:name w:val="font14"/>
    <w:basedOn w:val="1"/>
    <w:qFormat/>
    <w:uiPriority w:val="0"/>
    <w:pPr>
      <w:widowControl/>
      <w:spacing w:before="100" w:beforeAutospacing="1" w:after="100" w:afterAutospacing="1"/>
      <w:jc w:val="left"/>
    </w:pPr>
    <w:rPr>
      <w:rFonts w:ascii="宋体" w:hAnsi="宋体" w:eastAsia="宋体" w:cs="宋体"/>
      <w:color w:val="000000"/>
      <w:kern w:val="0"/>
      <w:sz w:val="22"/>
      <w:szCs w:val="22"/>
      <w14:ligatures w14:val="none"/>
    </w:rPr>
  </w:style>
  <w:style w:type="paragraph" w:customStyle="1" w:styleId="23">
    <w:name w:val="font15"/>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24">
    <w:name w:val="font16"/>
    <w:basedOn w:val="1"/>
    <w:qFormat/>
    <w:uiPriority w:val="0"/>
    <w:pPr>
      <w:widowControl/>
      <w:spacing w:before="100" w:beforeAutospacing="1" w:after="100" w:afterAutospacing="1"/>
      <w:jc w:val="left"/>
    </w:pPr>
    <w:rPr>
      <w:rFonts w:ascii="Arial" w:hAnsi="Arial" w:eastAsia="宋体" w:cs="Arial"/>
      <w:kern w:val="0"/>
      <w:sz w:val="22"/>
      <w:szCs w:val="22"/>
      <w14:ligatures w14:val="none"/>
    </w:rPr>
  </w:style>
  <w:style w:type="paragraph" w:customStyle="1" w:styleId="25">
    <w:name w:val="font17"/>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6">
    <w:name w:val="font1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27">
    <w:name w:val="font19"/>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28">
    <w:name w:val="font20"/>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9">
    <w:name w:val="font21"/>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0">
    <w:name w:val="font22"/>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1">
    <w:name w:val="font23"/>
    <w:basedOn w:val="1"/>
    <w:qFormat/>
    <w:uiPriority w:val="0"/>
    <w:pPr>
      <w:widowControl/>
      <w:spacing w:before="100" w:beforeAutospacing="1" w:after="100" w:afterAutospacing="1"/>
      <w:jc w:val="left"/>
    </w:pPr>
    <w:rPr>
      <w:rFonts w:ascii="微软雅黑" w:hAnsi="微软雅黑" w:eastAsia="微软雅黑" w:cs="宋体"/>
      <w:b/>
      <w:bCs/>
      <w:kern w:val="0"/>
      <w:sz w:val="22"/>
      <w:szCs w:val="22"/>
      <w14:ligatures w14:val="none"/>
    </w:rPr>
  </w:style>
  <w:style w:type="paragraph" w:customStyle="1" w:styleId="32">
    <w:name w:val="font24"/>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33">
    <w:name w:val="font25"/>
    <w:basedOn w:val="1"/>
    <w:qFormat/>
    <w:uiPriority w:val="0"/>
    <w:pPr>
      <w:widowControl/>
      <w:spacing w:before="100" w:beforeAutospacing="1" w:after="100" w:afterAutospacing="1"/>
      <w:jc w:val="left"/>
    </w:pPr>
    <w:rPr>
      <w:rFonts w:ascii="Sabon Next LT" w:hAnsi="Sabon Next LT" w:eastAsia="宋体" w:cs="Sabon Next LT"/>
      <w:color w:val="000000"/>
      <w:kern w:val="0"/>
      <w:sz w:val="25"/>
      <w:szCs w:val="25"/>
      <w14:ligatures w14:val="none"/>
    </w:rPr>
  </w:style>
  <w:style w:type="paragraph" w:customStyle="1" w:styleId="34">
    <w:name w:val="font26"/>
    <w:basedOn w:val="1"/>
    <w:qFormat/>
    <w:uiPriority w:val="0"/>
    <w:pPr>
      <w:widowControl/>
      <w:spacing w:before="100" w:beforeAutospacing="1" w:after="100" w:afterAutospacing="1"/>
      <w:jc w:val="left"/>
    </w:pPr>
    <w:rPr>
      <w:rFonts w:ascii="宋体" w:hAnsi="宋体" w:eastAsia="宋体" w:cs="宋体"/>
      <w:kern w:val="0"/>
      <w:sz w:val="18"/>
      <w:szCs w:val="18"/>
      <w14:ligatures w14:val="none"/>
    </w:rPr>
  </w:style>
  <w:style w:type="paragraph" w:customStyle="1" w:styleId="35">
    <w:name w:val="xl65"/>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7">
    <w:name w:val="xl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000000"/>
      <w:kern w:val="0"/>
      <w:sz w:val="28"/>
      <w:szCs w:val="28"/>
      <w14:ligatures w14:val="none"/>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4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b/>
      <w:bCs/>
      <w:kern w:val="0"/>
      <w:sz w:val="36"/>
      <w:szCs w:val="36"/>
      <w14:ligatures w14:val="none"/>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eastAsia="宋体" w:cs="宋体"/>
      <w:b/>
      <w:bCs/>
      <w:kern w:val="0"/>
      <w:sz w:val="24"/>
      <w14:ligatures w14:val="none"/>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14:ligatures w14:val="none"/>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14:ligatures w14:val="none"/>
    </w:rPr>
  </w:style>
  <w:style w:type="paragraph" w:customStyle="1" w:styleId="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6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7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kern w:val="0"/>
      <w:sz w:val="24"/>
      <w14:ligatures w14:val="none"/>
    </w:rPr>
  </w:style>
  <w:style w:type="paragraph" w:customStyle="1" w:styleId="7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FF0000"/>
      <w:kern w:val="0"/>
      <w:sz w:val="24"/>
      <w14:ligatures w14:val="none"/>
    </w:rPr>
  </w:style>
  <w:style w:type="paragraph" w:customStyle="1" w:styleId="7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color w:val="FF0000"/>
      <w:kern w:val="0"/>
      <w:sz w:val="24"/>
      <w14:ligatures w14:val="none"/>
    </w:rPr>
  </w:style>
  <w:style w:type="paragraph" w:customStyle="1" w:styleId="7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5">
    <w:name w:val="xl10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7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77">
    <w:name w:val="xl107"/>
    <w:basedOn w:val="1"/>
    <w:qFormat/>
    <w:uiPriority w:val="0"/>
    <w:pPr>
      <w:widowControl/>
      <w:shd w:val="clear" w:color="000000" w:fill="FFFFFF"/>
      <w:spacing w:before="100" w:beforeAutospacing="1" w:after="100" w:afterAutospacing="1"/>
      <w:jc w:val="left"/>
    </w:pPr>
    <w:rPr>
      <w:rFonts w:ascii="宋体" w:hAnsi="宋体" w:eastAsia="宋体" w:cs="宋体"/>
      <w:kern w:val="0"/>
      <w:sz w:val="24"/>
      <w14:ligatures w14:val="none"/>
    </w:rPr>
  </w:style>
  <w:style w:type="paragraph" w:customStyle="1" w:styleId="7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Sabon Next LT" w:hAnsi="Sabon Next LT" w:eastAsia="宋体" w:cs="Sabon Next LT"/>
      <w:kern w:val="0"/>
      <w:sz w:val="24"/>
      <w14:ligatures w14:val="none"/>
    </w:rPr>
  </w:style>
  <w:style w:type="paragraph" w:customStyle="1" w:styleId="8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14:ligatures w14:val="none"/>
    </w:rPr>
  </w:style>
  <w:style w:type="paragraph" w:customStyle="1" w:styleId="81">
    <w:name w:val="xl111"/>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82">
    <w:name w:val="xl112"/>
    <w:basedOn w:val="1"/>
    <w:qFormat/>
    <w:uiPriority w:val="0"/>
    <w:pPr>
      <w:widowControl/>
      <w:spacing w:before="100" w:beforeAutospacing="1" w:after="100" w:afterAutospacing="1"/>
      <w:jc w:val="center"/>
    </w:pPr>
    <w:rPr>
      <w:rFonts w:ascii="宋体" w:hAnsi="宋体" w:eastAsia="宋体" w:cs="宋体"/>
      <w:kern w:val="0"/>
      <w:sz w:val="24"/>
      <w14:ligatures w14:val="none"/>
    </w:rPr>
  </w:style>
  <w:style w:type="character" w:customStyle="1" w:styleId="83">
    <w:name w:val="font261"/>
    <w:basedOn w:val="6"/>
    <w:qFormat/>
    <w:uiPriority w:val="0"/>
    <w:rPr>
      <w:rFonts w:hint="default" w:ascii="DejaVuSans" w:hAnsi="DejaVuSans" w:eastAsia="DejaVuSans" w:cs="DejaVuSans"/>
      <w:b/>
      <w:color w:val="000000"/>
      <w:sz w:val="22"/>
      <w:szCs w:val="22"/>
      <w:u w:val="none"/>
    </w:rPr>
  </w:style>
  <w:style w:type="character" w:customStyle="1" w:styleId="84">
    <w:name w:val="font251"/>
    <w:basedOn w:val="6"/>
    <w:qFormat/>
    <w:uiPriority w:val="0"/>
    <w:rPr>
      <w:rFonts w:ascii="宋体" w:hAnsi="宋体" w:eastAsia="宋体" w:cs="宋体"/>
      <w:b/>
      <w:color w:val="000000"/>
      <w:sz w:val="22"/>
      <w:szCs w:val="22"/>
      <w:u w:val="none"/>
    </w:rPr>
  </w:style>
  <w:style w:type="character" w:customStyle="1" w:styleId="85">
    <w:name w:val="font281"/>
    <w:basedOn w:val="6"/>
    <w:qFormat/>
    <w:uiPriority w:val="0"/>
    <w:rPr>
      <w:rFonts w:hint="eastAsia" w:ascii="宋体" w:hAnsi="宋体" w:eastAsia="宋体" w:cs="宋体"/>
      <w:b/>
      <w:color w:val="000000"/>
      <w:sz w:val="22"/>
      <w:szCs w:val="22"/>
      <w:u w:val="none"/>
    </w:rPr>
  </w:style>
  <w:style w:type="character" w:customStyle="1" w:styleId="86">
    <w:name w:val="font41"/>
    <w:basedOn w:val="6"/>
    <w:qFormat/>
    <w:uiPriority w:val="0"/>
    <w:rPr>
      <w:rFonts w:ascii="宋体" w:hAnsi="宋体" w:eastAsia="宋体" w:cs="宋体"/>
      <w:b/>
      <w:color w:val="000000"/>
      <w:sz w:val="22"/>
      <w:szCs w:val="22"/>
      <w:u w:val="none"/>
    </w:rPr>
  </w:style>
  <w:style w:type="character" w:customStyle="1" w:styleId="87">
    <w:name w:val="font222"/>
    <w:basedOn w:val="6"/>
    <w:qFormat/>
    <w:uiPriority w:val="0"/>
    <w:rPr>
      <w:rFonts w:hint="default" w:ascii="DejaVuSans" w:hAnsi="DejaVuSans" w:eastAsia="DejaVuSans" w:cs="DejaVuSans"/>
      <w:b/>
      <w:color w:val="000000"/>
      <w:sz w:val="22"/>
      <w:szCs w:val="22"/>
      <w:u w:val="none"/>
    </w:rPr>
  </w:style>
  <w:style w:type="character" w:customStyle="1" w:styleId="88">
    <w:name w:val="font141"/>
    <w:basedOn w:val="6"/>
    <w:qFormat/>
    <w:uiPriority w:val="0"/>
    <w:rPr>
      <w:rFonts w:hint="default" w:ascii="DejaVuSans" w:hAnsi="DejaVuSans" w:eastAsia="DejaVuSans" w:cs="DejaVuSans"/>
      <w:b/>
      <w:color w:val="000000"/>
      <w:sz w:val="22"/>
      <w:szCs w:val="22"/>
      <w:u w:val="none"/>
    </w:rPr>
  </w:style>
  <w:style w:type="character" w:customStyle="1" w:styleId="89">
    <w:name w:val="font161"/>
    <w:basedOn w:val="6"/>
    <w:qFormat/>
    <w:uiPriority w:val="0"/>
    <w:rPr>
      <w:rFonts w:ascii="宋体" w:hAnsi="宋体" w:eastAsia="宋体" w:cs="宋体"/>
      <w:b/>
      <w:color w:val="000000"/>
      <w:sz w:val="22"/>
      <w:szCs w:val="22"/>
      <w:u w:val="none"/>
    </w:rPr>
  </w:style>
  <w:style w:type="character" w:customStyle="1" w:styleId="90">
    <w:name w:val="font171"/>
    <w:basedOn w:val="6"/>
    <w:qFormat/>
    <w:uiPriority w:val="0"/>
    <w:rPr>
      <w:rFonts w:hint="default" w:ascii="Arial" w:hAnsi="Arial" w:cs="Arial"/>
      <w:b/>
      <w:color w:val="000000"/>
      <w:sz w:val="22"/>
      <w:szCs w:val="22"/>
      <w:u w:val="none"/>
    </w:rPr>
  </w:style>
  <w:style w:type="character" w:customStyle="1" w:styleId="91">
    <w:name w:val="font31"/>
    <w:basedOn w:val="6"/>
    <w:qFormat/>
    <w:uiPriority w:val="0"/>
    <w:rPr>
      <w:rFonts w:hint="eastAsia" w:ascii="宋体" w:hAnsi="宋体" w:eastAsia="宋体" w:cs="宋体"/>
      <w:b/>
      <w:color w:val="000000"/>
      <w:sz w:val="22"/>
      <w:szCs w:val="22"/>
      <w:u w:val="none"/>
    </w:rPr>
  </w:style>
  <w:style w:type="character" w:customStyle="1" w:styleId="92">
    <w:name w:val="font131"/>
    <w:basedOn w:val="6"/>
    <w:qFormat/>
    <w:uiPriority w:val="0"/>
    <w:rPr>
      <w:rFonts w:hint="default" w:ascii="Arial" w:hAnsi="Arial" w:cs="Arial"/>
      <w:color w:val="000000"/>
      <w:sz w:val="22"/>
      <w:szCs w:val="22"/>
      <w:u w:val="none"/>
    </w:rPr>
  </w:style>
  <w:style w:type="character" w:customStyle="1" w:styleId="93">
    <w:name w:val="font81"/>
    <w:basedOn w:val="6"/>
    <w:qFormat/>
    <w:uiPriority w:val="0"/>
    <w:rPr>
      <w:rFonts w:ascii="Sabon Next LT" w:hAnsi="Sabon Next LT" w:eastAsia="Sabon Next LT" w:cs="Sabon Next LT"/>
      <w:color w:val="000000"/>
      <w:sz w:val="22"/>
      <w:szCs w:val="22"/>
      <w:u w:val="none"/>
    </w:rPr>
  </w:style>
  <w:style w:type="character" w:customStyle="1" w:styleId="94">
    <w:name w:val="font101"/>
    <w:basedOn w:val="6"/>
    <w:qFormat/>
    <w:uiPriority w:val="0"/>
    <w:rPr>
      <w:rFonts w:hint="eastAsia" w:ascii="宋体" w:hAnsi="宋体" w:eastAsia="宋体" w:cs="宋体"/>
      <w:color w:val="000000"/>
      <w:sz w:val="22"/>
      <w:szCs w:val="22"/>
      <w:u w:val="none"/>
    </w:rPr>
  </w:style>
  <w:style w:type="character" w:customStyle="1" w:styleId="95">
    <w:name w:val="font211"/>
    <w:basedOn w:val="6"/>
    <w:qFormat/>
    <w:uiPriority w:val="0"/>
    <w:rPr>
      <w:rFonts w:ascii="微软雅黑" w:hAnsi="微软雅黑" w:eastAsia="微软雅黑" w:cs="微软雅黑"/>
      <w:b/>
      <w:color w:val="000000"/>
      <w:sz w:val="22"/>
      <w:szCs w:val="22"/>
      <w:u w:val="none"/>
    </w:rPr>
  </w:style>
  <w:style w:type="character" w:customStyle="1" w:styleId="96">
    <w:name w:val="font91"/>
    <w:basedOn w:val="6"/>
    <w:qFormat/>
    <w:uiPriority w:val="0"/>
    <w:rPr>
      <w:rFonts w:hint="eastAsia" w:ascii="宋体" w:hAnsi="宋体" w:eastAsia="宋体" w:cs="宋体"/>
      <w:b/>
      <w:color w:val="000000"/>
      <w:sz w:val="22"/>
      <w:szCs w:val="22"/>
      <w:u w:val="none"/>
    </w:rPr>
  </w:style>
  <w:style w:type="character" w:customStyle="1" w:styleId="97">
    <w:name w:val="font01"/>
    <w:basedOn w:val="6"/>
    <w:qFormat/>
    <w:uiPriority w:val="0"/>
    <w:rPr>
      <w:rFonts w:hint="eastAsia" w:ascii="宋体" w:hAnsi="宋体" w:eastAsia="宋体" w:cs="宋体"/>
      <w:color w:val="000000"/>
      <w:sz w:val="22"/>
      <w:szCs w:val="22"/>
      <w:u w:val="none"/>
    </w:rPr>
  </w:style>
  <w:style w:type="character" w:customStyle="1" w:styleId="98">
    <w:name w:val="font71"/>
    <w:basedOn w:val="6"/>
    <w:qFormat/>
    <w:uiPriority w:val="0"/>
    <w:rPr>
      <w:rFonts w:hint="default" w:ascii="Sabon Next LT" w:hAnsi="Sabon Next LT" w:eastAsia="Sabon Next LT" w:cs="Sabon Next LT"/>
      <w:color w:val="000000"/>
      <w:sz w:val="22"/>
      <w:szCs w:val="22"/>
      <w:u w:val="none"/>
    </w:rPr>
  </w:style>
  <w:style w:type="character" w:customStyle="1" w:styleId="99">
    <w:name w:val="font191"/>
    <w:basedOn w:val="6"/>
    <w:qFormat/>
    <w:uiPriority w:val="0"/>
    <w:rPr>
      <w:rFonts w:hint="default" w:ascii="Arial" w:hAnsi="Arial" w:cs="Arial"/>
      <w:color w:val="000000"/>
      <w:sz w:val="22"/>
      <w:szCs w:val="22"/>
      <w:u w:val="none"/>
    </w:rPr>
  </w:style>
  <w:style w:type="character" w:customStyle="1" w:styleId="100">
    <w:name w:val="font111"/>
    <w:basedOn w:val="6"/>
    <w:qFormat/>
    <w:uiPriority w:val="0"/>
    <w:rPr>
      <w:rFonts w:hint="default" w:ascii="Arial" w:hAnsi="Arial" w:cs="Arial"/>
      <w:b/>
      <w:color w:val="000000"/>
      <w:sz w:val="22"/>
      <w:szCs w:val="22"/>
      <w:u w:val="none"/>
    </w:rPr>
  </w:style>
  <w:style w:type="character" w:customStyle="1" w:styleId="101">
    <w:name w:val="font181"/>
    <w:basedOn w:val="6"/>
    <w:qFormat/>
    <w:uiPriority w:val="0"/>
    <w:rPr>
      <w:rFonts w:hint="eastAsia" w:ascii="微软雅黑" w:hAnsi="微软雅黑" w:eastAsia="微软雅黑" w:cs="微软雅黑"/>
      <w:b/>
      <w:color w:val="000000"/>
      <w:sz w:val="22"/>
      <w:szCs w:val="22"/>
      <w:u w:val="none"/>
    </w:rPr>
  </w:style>
  <w:style w:type="character" w:customStyle="1" w:styleId="102">
    <w:name w:val="font221"/>
    <w:basedOn w:val="6"/>
    <w:qFormat/>
    <w:uiPriority w:val="0"/>
    <w:rPr>
      <w:rFonts w:hint="default" w:ascii="DejaVuSans" w:hAnsi="DejaVuSans" w:eastAsia="DejaVuSans" w:cs="DejaVuSans"/>
      <w:b/>
      <w:color w:val="000000"/>
      <w:sz w:val="22"/>
      <w:szCs w:val="22"/>
      <w:u w:val="none"/>
    </w:rPr>
  </w:style>
  <w:style w:type="character" w:customStyle="1" w:styleId="103">
    <w:name w:val="font212"/>
    <w:basedOn w:val="6"/>
    <w:qFormat/>
    <w:uiPriority w:val="0"/>
    <w:rPr>
      <w:rFonts w:ascii="微软雅黑" w:hAnsi="微软雅黑" w:eastAsia="微软雅黑" w:cs="微软雅黑"/>
      <w:b/>
      <w:color w:val="000000"/>
      <w:sz w:val="22"/>
      <w:szCs w:val="22"/>
      <w:u w:val="none"/>
    </w:rPr>
  </w:style>
  <w:style w:type="character" w:customStyle="1" w:styleId="104">
    <w:name w:val="font112"/>
    <w:basedOn w:val="6"/>
    <w:qFormat/>
    <w:uiPriority w:val="0"/>
    <w:rPr>
      <w:rFonts w:hint="default" w:ascii="Arial" w:hAnsi="Arial" w:cs="Arial"/>
      <w:b/>
      <w:color w:val="000000"/>
      <w:sz w:val="22"/>
      <w:szCs w:val="22"/>
      <w:u w:val="none"/>
    </w:rPr>
  </w:style>
  <w:style w:type="character" w:customStyle="1" w:styleId="105">
    <w:name w:val="font5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6826</Words>
  <Characters>8214</Characters>
  <Lines>148</Lines>
  <Paragraphs>41</Paragraphs>
  <TotalTime>0</TotalTime>
  <ScaleCrop>false</ScaleCrop>
  <LinksUpToDate>false</LinksUpToDate>
  <CharactersWithSpaces>8261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2024-09-29T09:02:00Z</dcterms:created>
  <dc:creator>DELL</dc:creator>
  <cp:lastModifiedBy>北极星</cp:lastModifiedBy>
  <dcterms:modified xsi:type="dcterms:W3CDTF">2024-10-10T03:06:03Z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594C0CD9D99643D58BAA6B562A5C7D99_12</vt:lpwstr>
  </property>
</Properties>
</file>