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黑体" w:hAnsi="黑体" w:eastAsia="黑体" w:cs="黑体"/>
          <w:b/>
          <w:bCs/>
          <w:color w:val="auto"/>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lang w:val="en-US" w:eastAsia="zh-CN"/>
        </w:rPr>
        <w:t>福建省提升中药质量促进</w:t>
      </w:r>
      <w:r>
        <w:rPr>
          <w:rFonts w:hint="eastAsia" w:ascii="方正小标宋简体" w:hAnsi="方正小标宋简体" w:eastAsia="方正小标宋简体" w:cs="方正小标宋简体"/>
          <w:b w:val="0"/>
          <w:bCs w:val="0"/>
          <w:color w:val="auto"/>
          <w:sz w:val="44"/>
          <w:szCs w:val="44"/>
        </w:rPr>
        <w:t>中医药产业</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高质量</w:t>
      </w:r>
      <w:r>
        <w:rPr>
          <w:rFonts w:hint="eastAsia" w:ascii="方正小标宋简体" w:hAnsi="方正小标宋简体" w:eastAsia="方正小标宋简体" w:cs="方正小标宋简体"/>
          <w:b w:val="0"/>
          <w:bCs w:val="0"/>
          <w:color w:val="auto"/>
          <w:sz w:val="44"/>
          <w:szCs w:val="44"/>
        </w:rPr>
        <w:t>发展</w:t>
      </w:r>
      <w:r>
        <w:rPr>
          <w:rFonts w:hint="eastAsia" w:ascii="方正小标宋简体" w:hAnsi="方正小标宋简体" w:eastAsia="方正小标宋简体" w:cs="方正小标宋简体"/>
          <w:b w:val="0"/>
          <w:bCs w:val="0"/>
          <w:color w:val="auto"/>
          <w:sz w:val="44"/>
          <w:szCs w:val="44"/>
          <w:lang w:eastAsia="zh-CN"/>
        </w:rPr>
        <w:t>的若干措施</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b w:val="0"/>
          <w:bCs w:val="0"/>
          <w:color w:val="auto"/>
          <w:sz w:val="32"/>
          <w:szCs w:val="32"/>
          <w:lang w:eastAsia="zh-CN"/>
        </w:rPr>
      </w:pPr>
      <w:r>
        <w:rPr>
          <w:rFonts w:hint="eastAsia" w:ascii="楷体_GB2312" w:hAnsi="楷体_GB2312" w:eastAsia="楷体_GB2312" w:cs="楷体_GB2312"/>
          <w:b w:val="0"/>
          <w:bCs w:val="0"/>
          <w:color w:val="auto"/>
          <w:sz w:val="32"/>
          <w:szCs w:val="32"/>
          <w:lang w:eastAsia="zh-CN"/>
        </w:rPr>
        <w:t>（</w:t>
      </w:r>
      <w:bookmarkStart w:id="0" w:name="_GoBack"/>
      <w:r>
        <w:rPr>
          <w:rFonts w:hint="eastAsia" w:ascii="楷体_GB2312" w:hAnsi="楷体_GB2312" w:eastAsia="楷体_GB2312" w:cs="楷体_GB2312"/>
          <w:b w:val="0"/>
          <w:bCs w:val="0"/>
          <w:color w:val="auto"/>
          <w:sz w:val="32"/>
          <w:szCs w:val="32"/>
          <w:lang w:eastAsia="zh-CN"/>
        </w:rPr>
        <w:t>征求意见稿</w:t>
      </w:r>
      <w:bookmarkEnd w:id="0"/>
      <w:r>
        <w:rPr>
          <w:rFonts w:hint="eastAsia" w:ascii="楷体_GB2312" w:hAnsi="楷体_GB2312" w:eastAsia="楷体_GB2312" w:cs="楷体_GB2312"/>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b/>
          <w:bCs/>
          <w:color w:val="auto"/>
          <w:sz w:val="32"/>
          <w:szCs w:val="32"/>
        </w:rPr>
      </w:pPr>
    </w:p>
    <w:p>
      <w:pPr>
        <w:keepNext w:val="0"/>
        <w:keepLines w:val="0"/>
        <w:pageBreakBefore w:val="0"/>
        <w:widowControl/>
        <w:kinsoku/>
        <w:wordWrap/>
        <w:overflowPunct/>
        <w:topLinePunct w:val="0"/>
        <w:autoSpaceDE/>
        <w:autoSpaceDN/>
        <w:bidi w:val="0"/>
        <w:adjustRightInd/>
        <w:snapToGrid/>
        <w:spacing w:afterLines="0" w:line="600" w:lineRule="exact"/>
        <w:ind w:firstLine="640" w:firstLineChars="200"/>
        <w:textAlignment w:val="auto"/>
        <w:rPr>
          <w:rFonts w:hint="eastAsia" w:ascii="黑体" w:hAnsi="黑体" w:eastAsia="黑体" w:cs="黑体"/>
          <w:color w:val="auto"/>
          <w:sz w:val="32"/>
          <w:szCs w:val="32"/>
          <w:u w:val="none" w:color="auto"/>
          <w:lang w:eastAsia="zh-CN"/>
        </w:rPr>
      </w:pPr>
      <w:r>
        <w:rPr>
          <w:rFonts w:hint="eastAsia" w:ascii="仿宋_GB2312" w:hAnsi="仿宋_GB2312" w:eastAsia="仿宋_GB2312" w:cs="仿宋_GB2312"/>
          <w:color w:val="auto"/>
          <w:sz w:val="32"/>
          <w:szCs w:val="32"/>
          <w:u w:val="none" w:color="auto"/>
        </w:rPr>
        <w:t>为贯彻落实《国务院办公厅关于提升中药质量促进中医药产业高质量发展的意见》（国办发〔2025〕11号）精神，</w:t>
      </w:r>
      <w:r>
        <w:rPr>
          <w:rFonts w:hint="eastAsia" w:ascii="仿宋_GB2312" w:hAnsi="仿宋_GB2312" w:eastAsia="仿宋_GB2312" w:cs="仿宋_GB2312"/>
          <w:color w:val="auto"/>
          <w:sz w:val="32"/>
          <w:szCs w:val="32"/>
          <w:u w:val="none" w:color="auto"/>
          <w:lang w:eastAsia="zh-CN"/>
        </w:rPr>
        <w:t>深入开展“深学争优、敢为争先、实干争效”行动，坚持以提升中药质量为基础，以科技创新为支撑，推动我省</w:t>
      </w:r>
      <w:r>
        <w:rPr>
          <w:rFonts w:hint="eastAsia" w:ascii="仿宋_GB2312" w:hAnsi="仿宋_GB2312" w:eastAsia="仿宋_GB2312" w:cs="仿宋_GB2312"/>
          <w:color w:val="auto"/>
          <w:sz w:val="32"/>
          <w:szCs w:val="32"/>
          <w:u w:val="none" w:color="auto"/>
        </w:rPr>
        <w:t>中医药产业高质量发展，结合本省实际，</w:t>
      </w:r>
      <w:r>
        <w:rPr>
          <w:rFonts w:hint="eastAsia" w:ascii="仿宋_GB2312" w:hAnsi="仿宋_GB2312" w:eastAsia="仿宋_GB2312" w:cs="仿宋_GB2312"/>
          <w:color w:val="auto"/>
          <w:sz w:val="32"/>
          <w:szCs w:val="32"/>
          <w:u w:val="none" w:color="auto"/>
          <w:lang w:eastAsia="zh-CN"/>
        </w:rPr>
        <w:t>提出如下措施</w:t>
      </w:r>
      <w:r>
        <w:rPr>
          <w:rFonts w:hint="eastAsia" w:ascii="仿宋_GB2312" w:hAnsi="仿宋_GB2312" w:eastAsia="仿宋_GB2312" w:cs="仿宋_GB2312"/>
          <w:color w:val="auto"/>
          <w:sz w:val="32"/>
          <w:szCs w:val="32"/>
          <w:u w:val="none" w:color="auto"/>
        </w:rPr>
        <w:t>。</w:t>
      </w:r>
    </w:p>
    <w:p>
      <w:pPr>
        <w:keepNext w:val="0"/>
        <w:keepLines w:val="0"/>
        <w:pageBreakBefore w:val="0"/>
        <w:widowControl w:val="0"/>
        <w:kinsoku/>
        <w:wordWrap/>
        <w:overflowPunct/>
        <w:topLinePunct w:val="0"/>
        <w:autoSpaceDE/>
        <w:autoSpaceDN/>
        <w:bidi w:val="0"/>
        <w:adjustRightInd/>
        <w:snapToGrid/>
        <w:spacing w:afterLines="0" w:line="600" w:lineRule="exact"/>
        <w:ind w:firstLine="640" w:firstLineChars="200"/>
        <w:textAlignment w:val="auto"/>
        <w:rPr>
          <w:rFonts w:hint="eastAsia" w:ascii="黑体" w:hAnsi="黑体" w:eastAsia="黑体" w:cs="黑体"/>
          <w:b/>
          <w:bCs/>
          <w:color w:val="auto"/>
          <w:sz w:val="32"/>
          <w:szCs w:val="32"/>
          <w:u w:val="none" w:color="auto"/>
        </w:rPr>
      </w:pPr>
      <w:r>
        <w:rPr>
          <w:rFonts w:hint="eastAsia" w:ascii="黑体" w:hAnsi="黑体" w:eastAsia="黑体" w:cs="黑体"/>
          <w:b w:val="0"/>
          <w:bCs w:val="0"/>
          <w:color w:val="auto"/>
          <w:sz w:val="32"/>
          <w:szCs w:val="32"/>
          <w:u w:val="none" w:color="auto"/>
        </w:rPr>
        <w:t>一</w:t>
      </w:r>
      <w:r>
        <w:rPr>
          <w:rFonts w:hint="eastAsia" w:ascii="黑体" w:hAnsi="黑体" w:eastAsia="黑体" w:cs="黑体"/>
          <w:b w:val="0"/>
          <w:bCs w:val="0"/>
          <w:color w:val="auto"/>
          <w:sz w:val="32"/>
          <w:szCs w:val="32"/>
          <w:u w:val="none" w:color="auto"/>
          <w:lang w:eastAsia="zh-CN"/>
        </w:rPr>
        <w:t>、推动</w:t>
      </w:r>
      <w:r>
        <w:rPr>
          <w:rFonts w:hint="eastAsia" w:ascii="黑体" w:hAnsi="黑体" w:eastAsia="黑体" w:cs="黑体"/>
          <w:b w:val="0"/>
          <w:bCs w:val="0"/>
          <w:color w:val="auto"/>
          <w:sz w:val="32"/>
          <w:szCs w:val="32"/>
          <w:u w:val="none" w:color="auto"/>
          <w:lang w:val="en-US" w:eastAsia="zh-CN"/>
        </w:rPr>
        <w:t>中药材产业提质增效</w:t>
      </w:r>
    </w:p>
    <w:p>
      <w:pPr>
        <w:keepNext w:val="0"/>
        <w:keepLines w:val="0"/>
        <w:pageBreakBefore w:val="0"/>
        <w:widowControl w:val="0"/>
        <w:kinsoku/>
        <w:wordWrap/>
        <w:overflowPunct/>
        <w:topLinePunct w:val="0"/>
        <w:autoSpaceDE/>
        <w:autoSpaceDN/>
        <w:bidi w:val="0"/>
        <w:adjustRightInd/>
        <w:snapToGrid/>
        <w:spacing w:afterLines="0" w:line="600" w:lineRule="exact"/>
        <w:ind w:firstLine="640" w:firstLineChars="200"/>
        <w:textAlignment w:val="auto"/>
        <w:rPr>
          <w:rFonts w:hint="eastAsia" w:ascii="仿宋_GB2312" w:hAnsi="仿宋_GB2312" w:eastAsia="仿宋_GB2312" w:cs="仿宋_GB2312"/>
          <w:color w:val="auto"/>
          <w:sz w:val="32"/>
          <w:szCs w:val="32"/>
          <w:u w:val="none" w:color="auto"/>
        </w:rPr>
      </w:pPr>
      <w:r>
        <w:rPr>
          <w:rFonts w:hint="eastAsia" w:ascii="楷体_GB2312" w:hAnsi="楷体_GB2312" w:eastAsia="楷体_GB2312" w:cs="楷体_GB2312"/>
          <w:color w:val="auto"/>
          <w:sz w:val="32"/>
          <w:szCs w:val="32"/>
          <w:u w:val="none" w:color="auto"/>
          <w:lang w:eastAsia="zh-CN"/>
        </w:rPr>
        <w:t>（一）</w:t>
      </w:r>
      <w:r>
        <w:rPr>
          <w:rFonts w:hint="eastAsia" w:ascii="楷体_GB2312" w:hAnsi="楷体_GB2312" w:eastAsia="楷体_GB2312" w:cs="楷体_GB2312"/>
          <w:color w:val="auto"/>
          <w:sz w:val="32"/>
          <w:szCs w:val="32"/>
          <w:u w:val="none" w:color="auto"/>
        </w:rPr>
        <w:t>加强闽产道地中药材资源保护利用。</w:t>
      </w:r>
      <w:r>
        <w:rPr>
          <w:rFonts w:hint="eastAsia" w:ascii="仿宋_GB2312" w:hAnsi="仿宋_GB2312" w:eastAsia="仿宋_GB2312" w:cs="仿宋_GB2312"/>
          <w:color w:val="auto"/>
          <w:sz w:val="32"/>
          <w:szCs w:val="32"/>
          <w:u w:val="none" w:color="auto"/>
        </w:rPr>
        <w:t>持续做好中药材资源调查，建立闽产道地中药材目录并动态更新</w:t>
      </w:r>
      <w:r>
        <w:rPr>
          <w:rFonts w:hint="eastAsia" w:ascii="仿宋_GB2312" w:hAnsi="仿宋_GB2312" w:eastAsia="仿宋_GB2312" w:cs="仿宋_GB2312"/>
          <w:color w:val="auto"/>
          <w:sz w:val="32"/>
          <w:szCs w:val="32"/>
          <w:u w:val="none" w:color="auto"/>
          <w:lang w:eastAsia="zh-CN"/>
        </w:rPr>
        <w:t>，引导</w:t>
      </w:r>
      <w:r>
        <w:rPr>
          <w:rFonts w:hint="eastAsia" w:ascii="仿宋_GB2312" w:hAnsi="仿宋_GB2312" w:eastAsia="仿宋_GB2312" w:cs="仿宋_GB2312"/>
          <w:color w:val="auto"/>
          <w:sz w:val="32"/>
          <w:szCs w:val="32"/>
          <w:u w:val="none" w:color="auto"/>
        </w:rPr>
        <w:t>各</w:t>
      </w:r>
      <w:r>
        <w:rPr>
          <w:rFonts w:hint="eastAsia" w:ascii="仿宋_GB2312" w:hAnsi="仿宋_GB2312" w:eastAsia="仿宋_GB2312" w:cs="仿宋_GB2312"/>
          <w:color w:val="auto"/>
          <w:sz w:val="32"/>
          <w:szCs w:val="32"/>
          <w:u w:val="none" w:color="auto"/>
          <w:lang w:eastAsia="zh-CN"/>
        </w:rPr>
        <w:t>地结合自身资源禀赋、</w:t>
      </w:r>
      <w:r>
        <w:rPr>
          <w:rFonts w:hint="eastAsia" w:ascii="仿宋_GB2312" w:hAnsi="仿宋_GB2312" w:eastAsia="仿宋_GB2312" w:cs="仿宋_GB2312"/>
          <w:color w:val="auto"/>
          <w:sz w:val="32"/>
          <w:szCs w:val="32"/>
          <w:u w:val="none" w:color="auto"/>
        </w:rPr>
        <w:t>差异化协同发展</w:t>
      </w:r>
      <w:r>
        <w:rPr>
          <w:rFonts w:hint="eastAsia" w:ascii="仿宋_GB2312" w:hAnsi="仿宋_GB2312" w:eastAsia="仿宋_GB2312" w:cs="仿宋_GB2312"/>
          <w:color w:val="auto"/>
          <w:sz w:val="32"/>
          <w:szCs w:val="32"/>
          <w:u w:val="none" w:color="auto"/>
          <w:lang w:eastAsia="zh-CN"/>
        </w:rPr>
        <w:t>中药材种植（养殖）产业。</w:t>
      </w:r>
      <w:r>
        <w:rPr>
          <w:rFonts w:hint="eastAsia" w:ascii="仿宋_GB2312" w:hAnsi="仿宋_GB2312" w:eastAsia="仿宋_GB2312" w:cs="仿宋_GB2312"/>
          <w:color w:val="auto"/>
          <w:sz w:val="32"/>
          <w:szCs w:val="32"/>
          <w:u w:val="none" w:color="auto"/>
        </w:rPr>
        <w:t>加强闽产道地药材</w:t>
      </w:r>
      <w:r>
        <w:rPr>
          <w:rFonts w:hint="eastAsia" w:ascii="仿宋_GB2312" w:hAnsi="仿宋_GB2312" w:eastAsia="仿宋_GB2312" w:cs="仿宋_GB2312"/>
          <w:sz w:val="32"/>
          <w:szCs w:val="32"/>
          <w:u w:val="none" w:color="auto"/>
        </w:rPr>
        <w:t>种质资源库</w:t>
      </w:r>
      <w:r>
        <w:rPr>
          <w:rFonts w:hint="eastAsia" w:ascii="仿宋_GB2312" w:hAnsi="仿宋_GB2312" w:eastAsia="仿宋_GB2312" w:cs="仿宋_GB2312"/>
          <w:color w:val="auto"/>
          <w:sz w:val="32"/>
          <w:szCs w:val="32"/>
          <w:u w:val="none" w:color="auto"/>
        </w:rPr>
        <w:t>圃建设</w:t>
      </w:r>
      <w:r>
        <w:rPr>
          <w:rFonts w:hint="eastAsia" w:ascii="仿宋_GB2312" w:hAnsi="仿宋_GB2312" w:eastAsia="仿宋_GB2312" w:cs="仿宋_GB2312"/>
          <w:color w:val="auto"/>
          <w:sz w:val="32"/>
          <w:szCs w:val="32"/>
          <w:u w:val="none" w:color="auto"/>
          <w:lang w:eastAsia="zh-CN"/>
        </w:rPr>
        <w:t>，</w:t>
      </w:r>
      <w:r>
        <w:rPr>
          <w:rFonts w:hint="eastAsia" w:ascii="仿宋_GB2312" w:hAnsi="仿宋_GB2312" w:eastAsia="仿宋_GB2312" w:cs="仿宋_GB2312"/>
          <w:b w:val="0"/>
          <w:bCs w:val="0"/>
          <w:color w:val="auto"/>
          <w:sz w:val="32"/>
          <w:szCs w:val="32"/>
          <w:u w:val="none" w:color="auto"/>
          <w:lang w:val="en-US" w:eastAsia="zh-CN"/>
        </w:rPr>
        <w:t>争取到2030年全省建设</w:t>
      </w:r>
      <w:r>
        <w:rPr>
          <w:rFonts w:hint="eastAsia" w:ascii="仿宋_GB2312" w:hAnsi="仿宋_GB2312" w:eastAsia="仿宋_GB2312" w:cs="仿宋_GB2312"/>
          <w:b w:val="0"/>
          <w:bCs w:val="0"/>
          <w:color w:val="auto"/>
          <w:sz w:val="32"/>
          <w:szCs w:val="32"/>
          <w:highlight w:val="none"/>
          <w:u w:val="none" w:color="auto"/>
          <w:lang w:val="en-US" w:eastAsia="zh-CN"/>
        </w:rPr>
        <w:t>5个</w:t>
      </w:r>
      <w:r>
        <w:rPr>
          <w:rFonts w:hint="eastAsia" w:ascii="仿宋_GB2312" w:hAnsi="仿宋_GB2312" w:eastAsia="仿宋_GB2312" w:cs="仿宋_GB2312"/>
          <w:color w:val="auto"/>
          <w:sz w:val="32"/>
          <w:szCs w:val="32"/>
          <w:u w:val="none" w:color="auto"/>
        </w:rPr>
        <w:t>种质资源</w:t>
      </w:r>
      <w:r>
        <w:rPr>
          <w:rFonts w:hint="eastAsia" w:ascii="仿宋_GB2312" w:hAnsi="仿宋_GB2312" w:eastAsia="仿宋_GB2312" w:cs="仿宋_GB2312"/>
          <w:b w:val="0"/>
          <w:bCs w:val="0"/>
          <w:color w:val="auto"/>
          <w:sz w:val="32"/>
          <w:szCs w:val="32"/>
          <w:u w:val="none" w:color="auto"/>
          <w:lang w:val="en-US" w:eastAsia="zh-CN"/>
        </w:rPr>
        <w:t>保存圃</w:t>
      </w:r>
      <w:r>
        <w:rPr>
          <w:rFonts w:hint="eastAsia" w:ascii="仿宋_GB2312" w:hAnsi="仿宋_GB2312" w:eastAsia="仿宋_GB2312" w:cs="仿宋_GB2312"/>
          <w:color w:val="auto"/>
          <w:sz w:val="32"/>
          <w:szCs w:val="32"/>
          <w:u w:val="none" w:color="auto"/>
          <w:lang w:eastAsia="zh-CN"/>
        </w:rPr>
        <w:t>。</w:t>
      </w:r>
      <w:r>
        <w:rPr>
          <w:rFonts w:hint="eastAsia" w:ascii="仿宋_GB2312" w:hAnsi="仿宋_GB2312" w:eastAsia="仿宋_GB2312" w:cs="仿宋_GB2312"/>
          <w:color w:val="auto"/>
          <w:sz w:val="32"/>
          <w:szCs w:val="32"/>
          <w:u w:val="none" w:color="auto"/>
        </w:rPr>
        <w:t>加强</w:t>
      </w:r>
      <w:r>
        <w:rPr>
          <w:rFonts w:hint="eastAsia" w:ascii="仿宋_GB2312" w:hAnsi="仿宋_GB2312" w:eastAsia="仿宋_GB2312" w:cs="仿宋_GB2312"/>
          <w:color w:val="auto"/>
          <w:sz w:val="32"/>
          <w:szCs w:val="32"/>
          <w:u w:val="none" w:color="auto"/>
          <w:lang w:eastAsia="zh-CN"/>
        </w:rPr>
        <w:t>闽产道地和</w:t>
      </w:r>
      <w:r>
        <w:rPr>
          <w:rFonts w:hint="eastAsia" w:ascii="仿宋_GB2312" w:hAnsi="仿宋_GB2312" w:eastAsia="仿宋_GB2312" w:cs="仿宋_GB2312"/>
          <w:color w:val="auto"/>
          <w:sz w:val="32"/>
          <w:szCs w:val="32"/>
          <w:u w:val="none" w:color="auto"/>
        </w:rPr>
        <w:t>特色药材种业基地建设，积极创建国家区域性中药材良种繁育基地，推广应用优质种苗。</w:t>
      </w:r>
      <w:r>
        <w:rPr>
          <w:rFonts w:hint="eastAsia" w:ascii="仿宋_GB2312" w:hAnsi="仿宋_GB2312" w:eastAsia="仿宋_GB2312" w:cs="仿宋_GB2312"/>
          <w:b/>
          <w:bCs/>
          <w:color w:val="auto"/>
          <w:kern w:val="2"/>
          <w:sz w:val="32"/>
          <w:szCs w:val="32"/>
          <w:u w:val="none" w:color="auto"/>
          <w:lang w:val="en-US" w:eastAsia="zh-CN" w:bidi="ar-SA"/>
        </w:rPr>
        <w:t>（省卫健委、药监局、农业农村厅、林业局、海洋渔业局按职责分工负责）</w:t>
      </w:r>
    </w:p>
    <w:p>
      <w:pPr>
        <w:keepNext w:val="0"/>
        <w:keepLines w:val="0"/>
        <w:pageBreakBefore w:val="0"/>
        <w:widowControl w:val="0"/>
        <w:kinsoku/>
        <w:wordWrap/>
        <w:overflowPunct/>
        <w:topLinePunct w:val="0"/>
        <w:autoSpaceDE/>
        <w:autoSpaceDN/>
        <w:bidi w:val="0"/>
        <w:adjustRightInd/>
        <w:snapToGrid/>
        <w:spacing w:afterLines="0" w:line="600" w:lineRule="exact"/>
        <w:ind w:firstLine="640" w:firstLineChars="200"/>
        <w:textAlignment w:val="auto"/>
        <w:rPr>
          <w:rFonts w:hint="eastAsia" w:ascii="仿宋_GB2312" w:eastAsia="仿宋_GB2312"/>
          <w:b w:val="0"/>
          <w:bCs w:val="0"/>
          <w:color w:val="auto"/>
          <w:sz w:val="32"/>
          <w:szCs w:val="32"/>
          <w:u w:val="none" w:color="auto"/>
          <w:lang w:val="en-US" w:eastAsia="zh-CN"/>
        </w:rPr>
      </w:pPr>
      <w:r>
        <w:rPr>
          <w:rFonts w:hint="eastAsia" w:ascii="楷体_GB2312" w:hAnsi="楷体_GB2312" w:eastAsia="楷体_GB2312" w:cs="楷体_GB2312"/>
          <w:color w:val="auto"/>
          <w:sz w:val="32"/>
          <w:szCs w:val="32"/>
          <w:u w:val="none" w:color="auto"/>
          <w:lang w:eastAsia="zh-CN"/>
        </w:rPr>
        <w:t>（</w:t>
      </w:r>
      <w:r>
        <w:rPr>
          <w:rFonts w:hint="eastAsia" w:ascii="楷体_GB2312" w:hAnsi="楷体_GB2312" w:eastAsia="楷体_GB2312" w:cs="楷体_GB2312"/>
          <w:color w:val="auto"/>
          <w:sz w:val="32"/>
          <w:szCs w:val="32"/>
          <w:u w:val="none" w:color="auto"/>
          <w:lang w:val="en-US" w:eastAsia="zh-CN"/>
        </w:rPr>
        <w:t>二</w:t>
      </w:r>
      <w:r>
        <w:rPr>
          <w:rFonts w:hint="eastAsia" w:ascii="楷体_GB2312" w:hAnsi="楷体_GB2312" w:eastAsia="楷体_GB2312" w:cs="楷体_GB2312"/>
          <w:color w:val="auto"/>
          <w:sz w:val="32"/>
          <w:szCs w:val="32"/>
          <w:u w:val="none" w:color="auto"/>
          <w:lang w:eastAsia="zh-CN"/>
        </w:rPr>
        <w:t>）</w:t>
      </w:r>
      <w:r>
        <w:rPr>
          <w:rFonts w:hint="eastAsia" w:ascii="楷体_GB2312" w:hAnsi="楷体_GB2312" w:eastAsia="楷体_GB2312" w:cs="楷体_GB2312"/>
          <w:color w:val="auto"/>
          <w:sz w:val="32"/>
          <w:szCs w:val="32"/>
          <w:u w:val="none" w:color="auto"/>
          <w:lang w:val="en-US" w:eastAsia="zh-CN"/>
        </w:rPr>
        <w:t>推行</w:t>
      </w:r>
      <w:r>
        <w:rPr>
          <w:rFonts w:hint="eastAsia" w:ascii="楷体_GB2312" w:hAnsi="楷体_GB2312" w:eastAsia="楷体_GB2312" w:cs="楷体_GB2312"/>
          <w:color w:val="auto"/>
          <w:sz w:val="32"/>
          <w:szCs w:val="32"/>
          <w:u w:val="none" w:color="auto"/>
          <w:lang w:eastAsia="zh-CN"/>
        </w:rPr>
        <w:t>中药材</w:t>
      </w:r>
      <w:r>
        <w:rPr>
          <w:rFonts w:hint="eastAsia" w:ascii="楷体_GB2312" w:hAnsi="楷体_GB2312" w:eastAsia="楷体_GB2312" w:cs="楷体_GB2312"/>
          <w:color w:val="auto"/>
          <w:sz w:val="32"/>
          <w:szCs w:val="32"/>
          <w:u w:val="none" w:color="auto"/>
        </w:rPr>
        <w:t>规范化种植。</w:t>
      </w:r>
      <w:r>
        <w:rPr>
          <w:rFonts w:hint="eastAsia" w:ascii="仿宋_GB2312" w:hAnsi="仿宋_GB2312" w:eastAsia="仿宋_GB2312" w:cs="仿宋_GB2312"/>
          <w:color w:val="auto"/>
          <w:sz w:val="32"/>
          <w:szCs w:val="32"/>
          <w:u w:val="none" w:color="auto"/>
        </w:rPr>
        <w:t>推行《中药材生产质量管理规范》，指导建设一批中药材生产质量管理规范</w:t>
      </w:r>
      <w:r>
        <w:rPr>
          <w:rFonts w:hint="eastAsia" w:ascii="仿宋_GB2312" w:hAnsi="仿宋_GB2312" w:eastAsia="仿宋_GB2312" w:cs="仿宋_GB2312"/>
          <w:color w:val="auto"/>
          <w:sz w:val="32"/>
          <w:szCs w:val="32"/>
          <w:u w:val="none" w:color="auto"/>
          <w:lang w:eastAsia="zh-CN"/>
        </w:rPr>
        <w:t>（以下简称中药材</w:t>
      </w:r>
      <w:r>
        <w:rPr>
          <w:rFonts w:hint="eastAsia" w:ascii="仿宋_GB2312" w:hAnsi="仿宋_GB2312" w:eastAsia="仿宋_GB2312" w:cs="仿宋_GB2312"/>
          <w:color w:val="auto"/>
          <w:sz w:val="32"/>
          <w:szCs w:val="32"/>
          <w:u w:val="none" w:color="auto"/>
          <w:lang w:val="en-US" w:eastAsia="zh-CN"/>
        </w:rPr>
        <w:t>GAP</w:t>
      </w:r>
      <w:r>
        <w:rPr>
          <w:rFonts w:hint="eastAsia" w:ascii="仿宋_GB2312" w:hAnsi="仿宋_GB2312" w:eastAsia="仿宋_GB2312" w:cs="仿宋_GB2312"/>
          <w:color w:val="auto"/>
          <w:sz w:val="32"/>
          <w:szCs w:val="32"/>
          <w:u w:val="none" w:color="auto"/>
          <w:lang w:eastAsia="zh-CN"/>
        </w:rPr>
        <w:t>）</w:t>
      </w:r>
      <w:r>
        <w:rPr>
          <w:rFonts w:hint="eastAsia" w:ascii="仿宋_GB2312" w:hAnsi="仿宋_GB2312" w:eastAsia="仿宋_GB2312" w:cs="仿宋_GB2312"/>
          <w:color w:val="auto"/>
          <w:sz w:val="32"/>
          <w:szCs w:val="32"/>
          <w:u w:val="none" w:color="auto"/>
        </w:rPr>
        <w:t>基地、全过程可追溯生产基地和林药种植基地</w:t>
      </w:r>
      <w:r>
        <w:rPr>
          <w:rFonts w:hint="eastAsia" w:ascii="仿宋_GB2312" w:hAnsi="仿宋_GB2312" w:eastAsia="仿宋_GB2312" w:cs="仿宋_GB2312"/>
          <w:color w:val="auto"/>
          <w:sz w:val="32"/>
          <w:szCs w:val="32"/>
          <w:u w:val="none" w:color="auto"/>
          <w:lang w:eastAsia="zh-CN"/>
        </w:rPr>
        <w:t>，争取</w:t>
      </w:r>
      <w:r>
        <w:rPr>
          <w:rFonts w:hint="eastAsia" w:ascii="仿宋_GB2312" w:hAnsi="仿宋_GB2312" w:eastAsia="仿宋_GB2312" w:cs="仿宋_GB2312"/>
          <w:b w:val="0"/>
          <w:bCs w:val="0"/>
          <w:color w:val="auto"/>
          <w:sz w:val="32"/>
          <w:szCs w:val="32"/>
          <w:u w:val="none" w:color="auto"/>
          <w:lang w:val="en-US" w:eastAsia="zh-CN"/>
        </w:rPr>
        <w:t>到2030年，全省中药材种植面积达到120万亩（其中福九味达到75万亩）；建设一批百亩以上全程可追溯规范化生产基地，通过</w:t>
      </w:r>
      <w:r>
        <w:rPr>
          <w:rFonts w:hint="eastAsia" w:ascii="仿宋_GB2312" w:hAnsi="仿宋_GB2312" w:eastAsia="仿宋_GB2312" w:cs="仿宋_GB2312"/>
          <w:color w:val="auto"/>
          <w:sz w:val="32"/>
          <w:szCs w:val="32"/>
          <w:u w:val="none" w:color="auto"/>
        </w:rPr>
        <w:t>中药材GAP</w:t>
      </w:r>
      <w:r>
        <w:rPr>
          <w:rFonts w:hint="eastAsia" w:ascii="仿宋_GB2312" w:hAnsi="仿宋_GB2312" w:eastAsia="仿宋_GB2312" w:cs="仿宋_GB2312"/>
          <w:b w:val="0"/>
          <w:bCs w:val="0"/>
          <w:color w:val="auto"/>
          <w:sz w:val="32"/>
          <w:szCs w:val="32"/>
          <w:u w:val="none" w:color="auto"/>
          <w:lang w:val="en-US" w:eastAsia="zh-CN"/>
        </w:rPr>
        <w:t>延伸检查基地10个。</w:t>
      </w:r>
      <w:r>
        <w:rPr>
          <w:rFonts w:hint="eastAsia" w:ascii="仿宋_GB2312" w:hAnsi="仿宋_GB2312" w:eastAsia="仿宋_GB2312" w:cs="仿宋_GB2312"/>
          <w:color w:val="auto"/>
          <w:sz w:val="32"/>
          <w:szCs w:val="32"/>
          <w:highlight w:val="none"/>
          <w:u w:val="none" w:color="auto"/>
        </w:rPr>
        <w:t>推动通过中药材GAP延伸检查的</w:t>
      </w:r>
      <w:r>
        <w:rPr>
          <w:rFonts w:hint="eastAsia" w:ascii="仿宋_GB2312" w:hAnsi="仿宋_GB2312" w:eastAsia="仿宋_GB2312" w:cs="仿宋_GB2312"/>
          <w:color w:val="auto"/>
          <w:sz w:val="32"/>
          <w:szCs w:val="32"/>
          <w:highlight w:val="none"/>
          <w:u w:val="none" w:color="auto"/>
          <w:lang w:eastAsia="zh-CN"/>
        </w:rPr>
        <w:t>中</w:t>
      </w:r>
      <w:r>
        <w:rPr>
          <w:rFonts w:hint="eastAsia" w:ascii="仿宋_GB2312" w:hAnsi="仿宋_GB2312" w:eastAsia="仿宋_GB2312" w:cs="仿宋_GB2312"/>
          <w:color w:val="auto"/>
          <w:sz w:val="32"/>
          <w:szCs w:val="32"/>
          <w:highlight w:val="none"/>
          <w:u w:val="none" w:color="auto"/>
        </w:rPr>
        <w:t>药材生产的中药饮片、中药配方颗粒、中成药按要求纳入集采和医疗机构采购目录，</w:t>
      </w:r>
      <w:r>
        <w:rPr>
          <w:rFonts w:hint="eastAsia" w:ascii="仿宋_GB2312" w:hAnsi="仿宋_GB2312" w:eastAsia="仿宋_GB2312" w:cs="仿宋_GB2312"/>
          <w:color w:val="auto"/>
          <w:sz w:val="32"/>
          <w:szCs w:val="32"/>
          <w:highlight w:val="none"/>
          <w:u w:val="none" w:color="auto"/>
          <w:lang w:eastAsia="zh-CN"/>
        </w:rPr>
        <w:t>逐步</w:t>
      </w:r>
      <w:r>
        <w:rPr>
          <w:rFonts w:hint="eastAsia" w:ascii="仿宋_GB2312" w:hAnsi="仿宋_GB2312" w:eastAsia="仿宋_GB2312" w:cs="仿宋_GB2312"/>
          <w:color w:val="auto"/>
          <w:sz w:val="32"/>
          <w:szCs w:val="32"/>
          <w:highlight w:val="none"/>
          <w:u w:val="none" w:color="auto"/>
        </w:rPr>
        <w:t>实现优质优价。</w:t>
      </w:r>
      <w:r>
        <w:rPr>
          <w:rFonts w:hint="eastAsia" w:ascii="仿宋_GB2312" w:hAnsi="仿宋_GB2312" w:eastAsia="仿宋_GB2312" w:cs="仿宋_GB2312"/>
          <w:b/>
          <w:bCs/>
          <w:color w:val="auto"/>
          <w:sz w:val="32"/>
          <w:szCs w:val="32"/>
          <w:u w:val="none" w:color="auto"/>
          <w:lang w:val="en-US" w:eastAsia="zh-CN"/>
        </w:rPr>
        <w:t>（省药监局、农业农村厅、林业局、卫健委、医保局</w:t>
      </w:r>
      <w:r>
        <w:rPr>
          <w:rFonts w:hint="eastAsia" w:ascii="仿宋_GB2312" w:hAnsi="仿宋_GB2312" w:eastAsia="仿宋_GB2312" w:cs="仿宋_GB2312"/>
          <w:b/>
          <w:bCs/>
          <w:color w:val="auto"/>
          <w:kern w:val="2"/>
          <w:sz w:val="32"/>
          <w:szCs w:val="32"/>
          <w:u w:val="none" w:color="auto"/>
          <w:lang w:val="en-US" w:eastAsia="zh-CN" w:bidi="ar-SA"/>
        </w:rPr>
        <w:t>按职责分工负责</w:t>
      </w:r>
      <w:r>
        <w:rPr>
          <w:rFonts w:hint="eastAsia" w:ascii="仿宋_GB2312" w:hAnsi="仿宋_GB2312" w:eastAsia="仿宋_GB2312" w:cs="仿宋_GB2312"/>
          <w:b/>
          <w:bCs/>
          <w:color w:val="auto"/>
          <w:sz w:val="32"/>
          <w:szCs w:val="32"/>
          <w:u w:val="none" w:color="auto"/>
          <w:lang w:val="en-US" w:eastAsia="zh-CN"/>
        </w:rPr>
        <w:t>）</w:t>
      </w:r>
    </w:p>
    <w:p>
      <w:pPr>
        <w:keepNext w:val="0"/>
        <w:keepLines w:val="0"/>
        <w:pageBreakBefore w:val="0"/>
        <w:widowControl w:val="0"/>
        <w:kinsoku/>
        <w:wordWrap/>
        <w:overflowPunct/>
        <w:topLinePunct w:val="0"/>
        <w:autoSpaceDE/>
        <w:autoSpaceDN/>
        <w:bidi w:val="0"/>
        <w:adjustRightInd/>
        <w:snapToGrid/>
        <w:spacing w:afterLines="0" w:line="600" w:lineRule="exact"/>
        <w:ind w:firstLine="640" w:firstLineChars="200"/>
        <w:textAlignment w:val="auto"/>
        <w:rPr>
          <w:rFonts w:hint="default" w:ascii="仿宋_GB2312" w:hAnsi="仿宋_GB2312" w:eastAsia="仿宋_GB2312" w:cs="仿宋_GB2312"/>
          <w:color w:val="auto"/>
          <w:kern w:val="2"/>
          <w:sz w:val="32"/>
          <w:szCs w:val="32"/>
          <w:highlight w:val="none"/>
          <w:u w:val="none" w:color="auto"/>
          <w:lang w:val="en-US" w:eastAsia="zh-CN" w:bidi="ar-SA"/>
        </w:rPr>
      </w:pPr>
      <w:r>
        <w:rPr>
          <w:rFonts w:hint="eastAsia" w:ascii="楷体_GB2312" w:hAnsi="楷体_GB2312" w:eastAsia="楷体_GB2312" w:cs="楷体_GB2312"/>
          <w:color w:val="auto"/>
          <w:sz w:val="32"/>
          <w:szCs w:val="32"/>
          <w:u w:val="none" w:color="auto"/>
          <w:lang w:eastAsia="zh-CN"/>
        </w:rPr>
        <w:t>（三）</w:t>
      </w:r>
      <w:r>
        <w:rPr>
          <w:rFonts w:hint="eastAsia" w:ascii="楷体_GB2312" w:hAnsi="楷体_GB2312" w:eastAsia="楷体_GB2312" w:cs="楷体_GB2312"/>
          <w:color w:val="auto"/>
          <w:kern w:val="2"/>
          <w:sz w:val="32"/>
          <w:szCs w:val="32"/>
          <w:highlight w:val="none"/>
          <w:u w:val="none" w:color="auto"/>
          <w:lang w:val="en-US" w:eastAsia="zh-CN" w:bidi="ar-SA"/>
        </w:rPr>
        <w:t>加强中药材储备和流通。</w:t>
      </w:r>
      <w:r>
        <w:rPr>
          <w:rFonts w:hint="eastAsia" w:ascii="仿宋_GB2312" w:hAnsi="仿宋_GB2312" w:eastAsia="仿宋_GB2312" w:cs="仿宋_GB2312"/>
          <w:b w:val="0"/>
          <w:bCs w:val="0"/>
          <w:color w:val="auto"/>
          <w:kern w:val="2"/>
          <w:sz w:val="32"/>
          <w:szCs w:val="32"/>
          <w:highlight w:val="none"/>
          <w:u w:val="none" w:color="auto"/>
          <w:lang w:val="en-US" w:eastAsia="zh-CN" w:bidi="ar-SA"/>
        </w:rPr>
        <w:t>指导建设一批产地加工基地、产地仓。支持中药饮片经营企业整合仓储资源，建设大型第三方物流企业，接受中药饮片委托储存配送，提升中药材储备和供应保障能力。加强中药材市场管理，规范中药材流通秩序。</w:t>
      </w:r>
      <w:r>
        <w:rPr>
          <w:rFonts w:hint="eastAsia" w:ascii="仿宋_GB2312" w:hAnsi="仿宋_GB2312" w:eastAsia="仿宋_GB2312" w:cs="仿宋_GB2312"/>
          <w:color w:val="auto"/>
          <w:sz w:val="32"/>
          <w:szCs w:val="32"/>
          <w:u w:val="none" w:color="auto"/>
          <w:lang w:eastAsia="zh-CN"/>
        </w:rPr>
        <w:t>推动</w:t>
      </w:r>
      <w:r>
        <w:rPr>
          <w:rFonts w:hint="eastAsia" w:ascii="仿宋_GB2312" w:hAnsi="仿宋_GB2312" w:eastAsia="仿宋_GB2312" w:cs="仿宋_GB2312"/>
          <w:b w:val="0"/>
          <w:bCs w:val="0"/>
          <w:color w:val="auto"/>
          <w:sz w:val="32"/>
          <w:szCs w:val="32"/>
          <w:highlight w:val="none"/>
        </w:rPr>
        <w:t>平潭（海峡）对台中药材</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福鼎市栀子</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柘荣县太子参</w:t>
      </w:r>
      <w:r>
        <w:rPr>
          <w:rFonts w:hint="eastAsia" w:ascii="仿宋_GB2312" w:hAnsi="仿宋_GB2312" w:eastAsia="仿宋_GB2312" w:cs="仿宋_GB2312"/>
          <w:b w:val="0"/>
          <w:bCs w:val="0"/>
          <w:color w:val="auto"/>
          <w:sz w:val="32"/>
          <w:szCs w:val="32"/>
          <w:highlight w:val="none"/>
          <w:lang w:eastAsia="zh-CN"/>
        </w:rPr>
        <w:t>等</w:t>
      </w:r>
      <w:r>
        <w:rPr>
          <w:rFonts w:hint="eastAsia" w:ascii="仿宋_GB2312" w:hAnsi="仿宋_GB2312" w:eastAsia="仿宋_GB2312" w:cs="仿宋_GB2312"/>
          <w:b w:val="0"/>
          <w:bCs w:val="0"/>
          <w:color w:val="auto"/>
          <w:sz w:val="32"/>
          <w:szCs w:val="32"/>
          <w:highlight w:val="none"/>
        </w:rPr>
        <w:t>交易中心</w:t>
      </w:r>
      <w:r>
        <w:rPr>
          <w:rFonts w:hint="eastAsia" w:ascii="仿宋_GB2312" w:hAnsi="仿宋_GB2312" w:eastAsia="仿宋_GB2312" w:cs="仿宋_GB2312"/>
          <w:color w:val="auto"/>
          <w:sz w:val="32"/>
          <w:szCs w:val="32"/>
          <w:u w:val="none" w:color="auto"/>
          <w:lang w:eastAsia="zh-CN"/>
        </w:rPr>
        <w:t>建设，做大做强中药材交易市场。</w:t>
      </w:r>
      <w:r>
        <w:rPr>
          <w:rFonts w:hint="eastAsia" w:ascii="仿宋_GB2312" w:hAnsi="仿宋_GB2312" w:eastAsia="仿宋_GB2312" w:cs="仿宋_GB2312"/>
          <w:b/>
          <w:bCs/>
          <w:color w:val="auto"/>
          <w:sz w:val="32"/>
          <w:szCs w:val="32"/>
          <w:u w:val="none" w:color="auto"/>
        </w:rPr>
        <w:t>（省药监局、商务厅、农业农村厅、林</w:t>
      </w:r>
      <w:r>
        <w:rPr>
          <w:rFonts w:hint="eastAsia" w:ascii="仿宋_GB2312" w:hAnsi="仿宋_GB2312" w:eastAsia="仿宋_GB2312" w:cs="仿宋_GB2312"/>
          <w:b/>
          <w:bCs/>
          <w:color w:val="auto"/>
          <w:sz w:val="32"/>
          <w:szCs w:val="32"/>
          <w:u w:val="none" w:color="auto"/>
          <w:lang w:eastAsia="zh-CN"/>
        </w:rPr>
        <w:t>业</w:t>
      </w:r>
      <w:r>
        <w:rPr>
          <w:rFonts w:hint="eastAsia" w:ascii="仿宋_GB2312" w:hAnsi="仿宋_GB2312" w:eastAsia="仿宋_GB2312" w:cs="仿宋_GB2312"/>
          <w:b/>
          <w:bCs/>
          <w:color w:val="auto"/>
          <w:sz w:val="32"/>
          <w:szCs w:val="32"/>
          <w:u w:val="none" w:color="auto"/>
        </w:rPr>
        <w:t>局</w:t>
      </w:r>
      <w:r>
        <w:rPr>
          <w:rFonts w:hint="eastAsia" w:ascii="仿宋_GB2312" w:hAnsi="仿宋_GB2312" w:eastAsia="仿宋_GB2312" w:cs="仿宋_GB2312"/>
          <w:b/>
          <w:bCs/>
          <w:color w:val="auto"/>
          <w:sz w:val="32"/>
          <w:szCs w:val="32"/>
          <w:u w:val="none" w:color="auto"/>
          <w:lang w:eastAsia="zh-CN"/>
        </w:rPr>
        <w:t>、</w:t>
      </w:r>
      <w:r>
        <w:rPr>
          <w:rFonts w:hint="eastAsia" w:ascii="仿宋_GB2312" w:hAnsi="仿宋_GB2312" w:eastAsia="仿宋_GB2312" w:cs="仿宋_GB2312"/>
          <w:b/>
          <w:bCs/>
          <w:color w:val="auto"/>
          <w:sz w:val="32"/>
          <w:szCs w:val="32"/>
          <w:u w:val="none" w:color="auto"/>
        </w:rPr>
        <w:t>卫健委</w:t>
      </w:r>
      <w:r>
        <w:rPr>
          <w:rFonts w:hint="eastAsia" w:ascii="仿宋_GB2312" w:hAnsi="仿宋_GB2312" w:eastAsia="仿宋_GB2312" w:cs="仿宋_GB2312"/>
          <w:b/>
          <w:bCs/>
          <w:color w:val="auto"/>
          <w:kern w:val="2"/>
          <w:sz w:val="32"/>
          <w:szCs w:val="32"/>
          <w:u w:val="none" w:color="auto"/>
          <w:lang w:val="en-US" w:eastAsia="zh-CN" w:bidi="ar-SA"/>
        </w:rPr>
        <w:t>按职责分工负责</w:t>
      </w:r>
      <w:r>
        <w:rPr>
          <w:rFonts w:hint="eastAsia" w:ascii="仿宋_GB2312" w:hAnsi="仿宋_GB2312" w:eastAsia="仿宋_GB2312" w:cs="仿宋_GB2312"/>
          <w:b/>
          <w:bCs/>
          <w:color w:val="auto"/>
          <w:sz w:val="32"/>
          <w:szCs w:val="32"/>
          <w:u w:val="none" w:color="auto"/>
        </w:rPr>
        <w:t>）</w:t>
      </w:r>
    </w:p>
    <w:p>
      <w:pPr>
        <w:keepNext w:val="0"/>
        <w:keepLines w:val="0"/>
        <w:pageBreakBefore w:val="0"/>
        <w:widowControl w:val="0"/>
        <w:kinsoku/>
        <w:wordWrap/>
        <w:overflowPunct/>
        <w:topLinePunct w:val="0"/>
        <w:autoSpaceDE/>
        <w:autoSpaceDN/>
        <w:bidi w:val="0"/>
        <w:adjustRightInd/>
        <w:snapToGrid/>
        <w:spacing w:afterLines="0" w:line="600" w:lineRule="exact"/>
        <w:ind w:firstLine="640" w:firstLineChars="200"/>
        <w:textAlignment w:val="auto"/>
        <w:rPr>
          <w:rFonts w:hint="eastAsia" w:ascii="黑体" w:hAnsi="黑体" w:eastAsia="黑体" w:cs="黑体"/>
          <w:b/>
          <w:bCs/>
          <w:color w:val="auto"/>
          <w:sz w:val="32"/>
          <w:szCs w:val="32"/>
          <w:u w:val="none" w:color="auto"/>
        </w:rPr>
      </w:pPr>
      <w:r>
        <w:rPr>
          <w:rFonts w:hint="eastAsia" w:ascii="黑体" w:hAnsi="黑体" w:eastAsia="黑体" w:cs="黑体"/>
          <w:b w:val="0"/>
          <w:bCs w:val="0"/>
          <w:color w:val="auto"/>
          <w:sz w:val="32"/>
          <w:szCs w:val="32"/>
          <w:u w:val="none" w:color="auto"/>
          <w:lang w:eastAsia="zh-CN"/>
        </w:rPr>
        <w:t>二、推进</w:t>
      </w:r>
      <w:r>
        <w:rPr>
          <w:rFonts w:hint="eastAsia" w:ascii="黑体" w:hAnsi="黑体" w:eastAsia="黑体" w:cs="黑体"/>
          <w:b w:val="0"/>
          <w:bCs w:val="0"/>
          <w:color w:val="auto"/>
          <w:sz w:val="32"/>
          <w:szCs w:val="32"/>
          <w:u w:val="none" w:color="auto"/>
          <w:lang w:val="en-US" w:eastAsia="zh-CN"/>
        </w:rPr>
        <w:t>中药产业优化升级</w:t>
      </w:r>
    </w:p>
    <w:p>
      <w:pPr>
        <w:keepNext w:val="0"/>
        <w:keepLines w:val="0"/>
        <w:pageBreakBefore w:val="0"/>
        <w:widowControl w:val="0"/>
        <w:kinsoku/>
        <w:wordWrap/>
        <w:overflowPunct/>
        <w:topLinePunct w:val="0"/>
        <w:autoSpaceDE/>
        <w:autoSpaceDN/>
        <w:bidi w:val="0"/>
        <w:adjustRightInd/>
        <w:snapToGrid/>
        <w:spacing w:afterLines="0" w:line="600" w:lineRule="exact"/>
        <w:ind w:firstLine="640" w:firstLineChars="200"/>
        <w:textAlignment w:val="auto"/>
        <w:rPr>
          <w:rFonts w:hint="eastAsia" w:ascii="仿宋_GB2312" w:hAnsi="仿宋_GB2312" w:eastAsia="仿宋_GB2312" w:cs="仿宋_GB2312"/>
          <w:b/>
          <w:bCs/>
          <w:color w:val="auto"/>
          <w:kern w:val="2"/>
          <w:sz w:val="32"/>
          <w:szCs w:val="32"/>
          <w:u w:val="none" w:color="auto"/>
          <w:lang w:val="en-US" w:eastAsia="zh-CN" w:bidi="ar-SA"/>
        </w:rPr>
      </w:pPr>
      <w:r>
        <w:rPr>
          <w:rFonts w:hint="eastAsia" w:ascii="楷体_GB2312" w:hAnsi="楷体_GB2312" w:eastAsia="楷体_GB2312" w:cs="楷体_GB2312"/>
          <w:color w:val="auto"/>
          <w:sz w:val="32"/>
          <w:szCs w:val="32"/>
          <w:u w:val="none" w:color="auto"/>
          <w:lang w:eastAsia="zh-CN"/>
        </w:rPr>
        <w:t>（四）打造“福九味”产业集群。</w:t>
      </w:r>
      <w:r>
        <w:rPr>
          <w:rFonts w:hint="eastAsia" w:ascii="仿宋_GB2312" w:hAnsi="仿宋_GB2312" w:eastAsia="仿宋_GB2312" w:cs="仿宋_GB2312"/>
          <w:color w:val="auto"/>
          <w:sz w:val="32"/>
          <w:szCs w:val="32"/>
          <w:u w:val="none" w:color="auto"/>
          <w:lang w:eastAsia="zh-CN"/>
        </w:rPr>
        <w:t>加快推动“福九味”</w:t>
      </w:r>
      <w:r>
        <w:rPr>
          <w:rFonts w:hint="eastAsia" w:ascii="仿宋_GB2312" w:hAnsi="仿宋_GB2312" w:eastAsia="仿宋_GB2312" w:cs="仿宋_GB2312"/>
          <w:color w:val="auto"/>
          <w:kern w:val="2"/>
          <w:sz w:val="32"/>
          <w:szCs w:val="32"/>
          <w:u w:val="none" w:color="auto"/>
          <w:lang w:val="en-US" w:eastAsia="zh-CN" w:bidi="ar-SA"/>
        </w:rPr>
        <w:t>打造以柘荣、浦城为重点的“闽东北山区”和以建宁、明溪、邵武、连城、武平、南靖为重点的“闽西南老区”两个</w:t>
      </w:r>
      <w:r>
        <w:rPr>
          <w:rFonts w:hint="eastAsia" w:ascii="仿宋_GB2312" w:hAnsi="仿宋_GB2312" w:eastAsia="仿宋_GB2312" w:cs="仿宋_GB2312"/>
          <w:color w:val="auto"/>
          <w:sz w:val="32"/>
          <w:szCs w:val="32"/>
          <w:u w:val="none" w:color="auto"/>
          <w:lang w:eastAsia="zh-CN"/>
        </w:rPr>
        <w:t>产业带发展，争取</w:t>
      </w:r>
      <w:r>
        <w:rPr>
          <w:rFonts w:hint="eastAsia" w:ascii="仿宋_GB2312" w:hAnsi="仿宋_GB2312" w:eastAsia="仿宋_GB2312" w:cs="仿宋_GB2312"/>
          <w:b w:val="0"/>
          <w:bCs w:val="0"/>
          <w:color w:val="auto"/>
          <w:sz w:val="32"/>
          <w:szCs w:val="32"/>
          <w:u w:val="none" w:color="auto"/>
          <w:lang w:val="en-US" w:eastAsia="zh-CN"/>
        </w:rPr>
        <w:t>到2030年，培育15个中药材提质增效县</w:t>
      </w:r>
      <w:r>
        <w:rPr>
          <w:rFonts w:hint="default" w:ascii="仿宋_GB2312" w:hAnsi="仿宋_GB2312" w:eastAsia="仿宋_GB2312" w:cs="仿宋_GB2312"/>
          <w:b w:val="0"/>
          <w:bCs w:val="0"/>
          <w:color w:val="auto"/>
          <w:sz w:val="32"/>
          <w:szCs w:val="32"/>
          <w:u w:val="none" w:color="auto"/>
          <w:lang w:val="en-US" w:eastAsia="zh-CN"/>
        </w:rPr>
        <w:t>,</w:t>
      </w:r>
      <w:r>
        <w:rPr>
          <w:rFonts w:hint="eastAsia" w:ascii="仿宋_GB2312" w:hAnsi="仿宋_GB2312" w:eastAsia="仿宋_GB2312" w:cs="仿宋_GB2312"/>
          <w:b w:val="0"/>
          <w:bCs w:val="0"/>
          <w:color w:val="auto"/>
          <w:sz w:val="32"/>
          <w:szCs w:val="32"/>
          <w:u w:val="none" w:color="auto"/>
          <w:lang w:val="en-US" w:eastAsia="zh-CN"/>
        </w:rPr>
        <w:t>打造10个道地药材大宗品种种植基地，</w:t>
      </w:r>
      <w:r>
        <w:rPr>
          <w:rFonts w:hint="eastAsia" w:ascii="仿宋_GB2312" w:hAnsi="仿宋_GB2312" w:eastAsia="仿宋_GB2312" w:cs="仿宋_GB2312"/>
          <w:color w:val="auto"/>
          <w:kern w:val="2"/>
          <w:sz w:val="32"/>
          <w:szCs w:val="32"/>
          <w:u w:val="none" w:color="auto"/>
          <w:lang w:val="en-US" w:eastAsia="zh-CN" w:bidi="ar-SA"/>
        </w:rPr>
        <w:t>推动形成集种植、加工生产、健康产业、研学旅行融合发展的</w:t>
      </w:r>
      <w:r>
        <w:rPr>
          <w:rFonts w:hint="eastAsia" w:ascii="仿宋_GB2312" w:hAnsi="仿宋_GB2312" w:eastAsia="仿宋_GB2312" w:cs="仿宋_GB2312"/>
          <w:color w:val="auto"/>
          <w:sz w:val="32"/>
          <w:szCs w:val="32"/>
          <w:u w:val="none" w:color="auto"/>
          <w:lang w:eastAsia="zh-CN"/>
        </w:rPr>
        <w:t>中药材</w:t>
      </w:r>
      <w:r>
        <w:rPr>
          <w:rFonts w:hint="eastAsia" w:ascii="仿宋_GB2312" w:hAnsi="仿宋_GB2312" w:eastAsia="仿宋_GB2312" w:cs="仿宋_GB2312"/>
          <w:color w:val="auto"/>
          <w:kern w:val="2"/>
          <w:sz w:val="32"/>
          <w:szCs w:val="32"/>
          <w:u w:val="none" w:color="auto"/>
          <w:lang w:val="en-US" w:eastAsia="zh-CN" w:bidi="ar-SA"/>
        </w:rPr>
        <w:t>产业集群。</w:t>
      </w:r>
      <w:r>
        <w:rPr>
          <w:rFonts w:hint="eastAsia" w:ascii="仿宋_GB2312" w:hAnsi="仿宋_GB2312" w:eastAsia="仿宋_GB2312" w:cs="仿宋_GB2312"/>
          <w:b/>
          <w:bCs/>
          <w:color w:val="auto"/>
          <w:kern w:val="2"/>
          <w:sz w:val="32"/>
          <w:szCs w:val="32"/>
          <w:u w:val="none" w:color="auto"/>
          <w:lang w:val="en-US" w:eastAsia="zh-CN" w:bidi="ar-SA"/>
        </w:rPr>
        <w:t>（</w:t>
      </w:r>
      <w:r>
        <w:rPr>
          <w:rFonts w:hint="eastAsia" w:ascii="仿宋_GB2312" w:hAnsi="仿宋_GB2312" w:eastAsia="仿宋_GB2312" w:cs="仿宋_GB2312"/>
          <w:b/>
          <w:bCs/>
          <w:color w:val="auto"/>
          <w:sz w:val="32"/>
          <w:szCs w:val="32"/>
          <w:u w:val="none" w:color="auto"/>
        </w:rPr>
        <w:t>省农业农村厅、林</w:t>
      </w:r>
      <w:r>
        <w:rPr>
          <w:rFonts w:hint="eastAsia" w:ascii="仿宋_GB2312" w:hAnsi="仿宋_GB2312" w:eastAsia="仿宋_GB2312" w:cs="仿宋_GB2312"/>
          <w:b/>
          <w:bCs/>
          <w:color w:val="auto"/>
          <w:sz w:val="32"/>
          <w:szCs w:val="32"/>
          <w:u w:val="none" w:color="auto"/>
          <w:lang w:eastAsia="zh-CN"/>
        </w:rPr>
        <w:t>业</w:t>
      </w:r>
      <w:r>
        <w:rPr>
          <w:rFonts w:hint="eastAsia" w:ascii="仿宋_GB2312" w:hAnsi="仿宋_GB2312" w:eastAsia="仿宋_GB2312" w:cs="仿宋_GB2312"/>
          <w:b/>
          <w:bCs/>
          <w:color w:val="auto"/>
          <w:sz w:val="32"/>
          <w:szCs w:val="32"/>
          <w:u w:val="none" w:color="auto"/>
        </w:rPr>
        <w:t>局</w:t>
      </w:r>
      <w:r>
        <w:rPr>
          <w:rFonts w:hint="eastAsia" w:ascii="仿宋_GB2312" w:hAnsi="仿宋_GB2312" w:eastAsia="仿宋_GB2312" w:cs="仿宋_GB2312"/>
          <w:b/>
          <w:bCs/>
          <w:color w:val="auto"/>
          <w:sz w:val="32"/>
          <w:szCs w:val="32"/>
          <w:u w:val="none" w:color="auto"/>
          <w:lang w:eastAsia="zh-CN"/>
        </w:rPr>
        <w:t>、</w:t>
      </w:r>
      <w:r>
        <w:rPr>
          <w:rFonts w:hint="eastAsia" w:ascii="仿宋_GB2312" w:hAnsi="仿宋_GB2312" w:eastAsia="仿宋_GB2312" w:cs="仿宋_GB2312"/>
          <w:b/>
          <w:bCs/>
          <w:color w:val="auto"/>
          <w:sz w:val="32"/>
          <w:szCs w:val="32"/>
          <w:u w:val="none" w:color="auto"/>
        </w:rPr>
        <w:t>工信厅、卫健委、</w:t>
      </w:r>
      <w:r>
        <w:rPr>
          <w:rFonts w:hint="eastAsia" w:ascii="仿宋_GB2312" w:hAnsi="仿宋_GB2312" w:eastAsia="仿宋_GB2312" w:cs="仿宋_GB2312"/>
          <w:b/>
          <w:bCs/>
          <w:color w:val="auto"/>
          <w:sz w:val="32"/>
          <w:szCs w:val="32"/>
          <w:u w:val="none" w:color="auto"/>
          <w:lang w:eastAsia="zh-CN"/>
        </w:rPr>
        <w:t>文旅厅、药监局</w:t>
      </w:r>
      <w:r>
        <w:rPr>
          <w:rFonts w:hint="eastAsia" w:ascii="仿宋_GB2312" w:hAnsi="仿宋_GB2312" w:eastAsia="仿宋_GB2312" w:cs="仿宋_GB2312"/>
          <w:b/>
          <w:bCs/>
          <w:color w:val="auto"/>
          <w:kern w:val="2"/>
          <w:sz w:val="32"/>
          <w:szCs w:val="32"/>
          <w:u w:val="none" w:color="auto"/>
          <w:lang w:val="en-US" w:eastAsia="zh-CN" w:bidi="ar-SA"/>
        </w:rPr>
        <w:t>按职责分工负责）</w:t>
      </w:r>
    </w:p>
    <w:p>
      <w:pPr>
        <w:keepNext w:val="0"/>
        <w:keepLines w:val="0"/>
        <w:pageBreakBefore w:val="0"/>
        <w:widowControl w:val="0"/>
        <w:kinsoku/>
        <w:wordWrap/>
        <w:overflowPunct/>
        <w:topLinePunct w:val="0"/>
        <w:autoSpaceDE/>
        <w:autoSpaceDN/>
        <w:bidi w:val="0"/>
        <w:adjustRightInd/>
        <w:snapToGrid/>
        <w:spacing w:afterLines="0" w:line="600" w:lineRule="exact"/>
        <w:ind w:firstLine="640" w:firstLineChars="200"/>
        <w:textAlignment w:val="auto"/>
        <w:rPr>
          <w:rFonts w:hint="eastAsia" w:ascii="仿宋_GB2312" w:hAnsi="仿宋_GB2312" w:eastAsia="仿宋_GB2312" w:cs="仿宋_GB2312"/>
          <w:color w:val="auto"/>
          <w:sz w:val="32"/>
          <w:szCs w:val="32"/>
          <w:u w:val="none" w:color="auto"/>
          <w:lang w:eastAsia="zh-CN"/>
        </w:rPr>
      </w:pPr>
      <w:r>
        <w:rPr>
          <w:rFonts w:hint="eastAsia" w:ascii="楷体_GB2312" w:hAnsi="楷体_GB2312" w:eastAsia="楷体_GB2312" w:cs="楷体_GB2312"/>
          <w:color w:val="auto"/>
          <w:kern w:val="2"/>
          <w:sz w:val="32"/>
          <w:szCs w:val="32"/>
          <w:u w:val="none" w:color="auto"/>
          <w:lang w:val="en-US" w:eastAsia="zh-CN" w:bidi="ar-SA"/>
        </w:rPr>
        <w:t>（五）推动中药产业集聚发展。</w:t>
      </w:r>
      <w:r>
        <w:rPr>
          <w:rFonts w:hint="eastAsia" w:ascii="仿宋_GB2312" w:hAnsi="仿宋_GB2312" w:eastAsia="仿宋_GB2312" w:cs="仿宋_GB2312"/>
          <w:b w:val="0"/>
          <w:bCs w:val="0"/>
          <w:color w:val="auto"/>
          <w:sz w:val="32"/>
          <w:szCs w:val="32"/>
          <w:u w:val="none" w:color="auto"/>
          <w:lang w:eastAsia="zh-CN"/>
        </w:rPr>
        <w:t>鼓励各地依托</w:t>
      </w:r>
      <w:r>
        <w:rPr>
          <w:rFonts w:hint="eastAsia" w:ascii="仿宋_GB2312" w:hAnsi="仿宋_GB2312" w:eastAsia="仿宋_GB2312" w:cs="仿宋_GB2312"/>
          <w:b w:val="0"/>
          <w:bCs w:val="0"/>
          <w:color w:val="auto"/>
          <w:sz w:val="32"/>
          <w:szCs w:val="32"/>
          <w:u w:val="none" w:color="auto"/>
        </w:rPr>
        <w:t>中药产业</w:t>
      </w:r>
      <w:r>
        <w:rPr>
          <w:rFonts w:hint="eastAsia" w:ascii="仿宋_GB2312" w:hAnsi="仿宋_GB2312" w:eastAsia="仿宋_GB2312" w:cs="仿宋_GB2312"/>
          <w:b w:val="0"/>
          <w:bCs w:val="0"/>
          <w:color w:val="auto"/>
          <w:sz w:val="32"/>
          <w:szCs w:val="32"/>
          <w:u w:val="none" w:color="auto"/>
          <w:lang w:eastAsia="zh-CN"/>
        </w:rPr>
        <w:t>集聚区培育引进</w:t>
      </w:r>
      <w:r>
        <w:rPr>
          <w:rFonts w:hint="eastAsia" w:ascii="仿宋_GB2312" w:hAnsi="仿宋_GB2312" w:eastAsia="仿宋_GB2312" w:cs="仿宋_GB2312"/>
          <w:b w:val="0"/>
          <w:bCs w:val="0"/>
          <w:color w:val="auto"/>
          <w:sz w:val="32"/>
          <w:szCs w:val="32"/>
          <w:u w:val="none" w:color="auto"/>
        </w:rPr>
        <w:t>中药</w:t>
      </w:r>
      <w:r>
        <w:rPr>
          <w:rFonts w:hint="eastAsia" w:ascii="仿宋_GB2312" w:hAnsi="仿宋_GB2312" w:eastAsia="仿宋_GB2312" w:cs="仿宋_GB2312"/>
          <w:b w:val="0"/>
          <w:bCs w:val="0"/>
          <w:color w:val="auto"/>
          <w:sz w:val="32"/>
          <w:szCs w:val="32"/>
          <w:u w:val="none" w:color="auto"/>
          <w:lang w:eastAsia="zh-CN"/>
        </w:rPr>
        <w:t>研发、</w:t>
      </w:r>
      <w:r>
        <w:rPr>
          <w:rFonts w:hint="eastAsia" w:ascii="仿宋_GB2312" w:hAnsi="仿宋_GB2312" w:eastAsia="仿宋_GB2312" w:cs="仿宋_GB2312"/>
          <w:b w:val="0"/>
          <w:bCs w:val="0"/>
          <w:color w:val="auto"/>
          <w:sz w:val="32"/>
          <w:szCs w:val="32"/>
          <w:u w:val="none" w:color="auto"/>
        </w:rPr>
        <w:t>生产加工</w:t>
      </w:r>
      <w:r>
        <w:rPr>
          <w:rFonts w:hint="eastAsia" w:ascii="仿宋_GB2312" w:hAnsi="仿宋_GB2312" w:eastAsia="仿宋_GB2312" w:cs="仿宋_GB2312"/>
          <w:b w:val="0"/>
          <w:bCs w:val="0"/>
          <w:color w:val="auto"/>
          <w:sz w:val="32"/>
          <w:szCs w:val="32"/>
          <w:u w:val="none" w:color="auto"/>
          <w:lang w:eastAsia="zh-CN"/>
        </w:rPr>
        <w:t>、中药保健食品及日用品等企业。</w:t>
      </w:r>
      <w:r>
        <w:rPr>
          <w:rFonts w:hint="eastAsia" w:ascii="仿宋_GB2312" w:hAnsi="仿宋_GB2312" w:eastAsia="仿宋_GB2312" w:cs="仿宋_GB2312"/>
          <w:b w:val="0"/>
          <w:bCs w:val="0"/>
          <w:color w:val="auto"/>
          <w:sz w:val="32"/>
          <w:szCs w:val="32"/>
          <w:u w:val="none" w:color="auto"/>
          <w:lang w:val="en-US" w:eastAsia="zh-CN"/>
        </w:rPr>
        <w:t>支持漳州打造</w:t>
      </w:r>
      <w:r>
        <w:rPr>
          <w:rFonts w:hint="eastAsia" w:ascii="仿宋_GB2312" w:hAnsi="仿宋_GB2312" w:eastAsia="仿宋_GB2312" w:cs="仿宋_GB2312"/>
          <w:b w:val="0"/>
          <w:bCs w:val="0"/>
          <w:color w:val="auto"/>
          <w:sz w:val="32"/>
          <w:szCs w:val="32"/>
          <w:u w:val="none" w:color="auto"/>
          <w:lang w:eastAsia="zh-CN"/>
        </w:rPr>
        <w:t>中医药大健康产业，三明、南平、宁德重点发展中药原料药生产基地，开展“一企一策”精准指导与服务，</w:t>
      </w:r>
      <w:r>
        <w:rPr>
          <w:rFonts w:hint="eastAsia" w:ascii="仿宋_GB2312" w:hAnsi="仿宋_GB2312" w:eastAsia="仿宋_GB2312" w:cs="仿宋_GB2312"/>
          <w:b w:val="0"/>
          <w:bCs w:val="0"/>
          <w:color w:val="auto"/>
          <w:sz w:val="32"/>
          <w:szCs w:val="32"/>
          <w:u w:val="none" w:color="auto"/>
          <w:lang w:val="en-US" w:eastAsia="zh-CN"/>
        </w:rPr>
        <w:t>培育发展一批中药细分领域专精特新、单项冠军企业</w:t>
      </w:r>
      <w:r>
        <w:rPr>
          <w:rFonts w:hint="eastAsia" w:ascii="仿宋_GB2312" w:hAnsi="仿宋_GB2312" w:eastAsia="仿宋_GB2312" w:cs="仿宋_GB2312"/>
          <w:b w:val="0"/>
          <w:bCs w:val="0"/>
          <w:color w:val="auto"/>
          <w:sz w:val="32"/>
          <w:szCs w:val="32"/>
          <w:u w:val="none" w:color="auto"/>
          <w:lang w:eastAsia="zh-CN"/>
        </w:rPr>
        <w:t>。</w:t>
      </w:r>
      <w:r>
        <w:rPr>
          <w:rFonts w:hint="eastAsia" w:ascii="仿宋_GB2312" w:hAnsi="仿宋_GB2312" w:eastAsia="仿宋_GB2312" w:cs="仿宋_GB2312"/>
          <w:b/>
          <w:bCs/>
          <w:color w:val="auto"/>
          <w:sz w:val="32"/>
          <w:szCs w:val="32"/>
          <w:u w:val="none" w:color="auto"/>
        </w:rPr>
        <w:t>（省工信厅、卫健委、市场监管局、</w:t>
      </w:r>
      <w:r>
        <w:rPr>
          <w:rFonts w:hint="eastAsia" w:ascii="仿宋_GB2312" w:hAnsi="仿宋_GB2312" w:eastAsia="仿宋_GB2312" w:cs="仿宋_GB2312"/>
          <w:b/>
          <w:bCs/>
          <w:color w:val="auto"/>
          <w:sz w:val="32"/>
          <w:szCs w:val="32"/>
          <w:u w:val="none" w:color="auto"/>
          <w:lang w:eastAsia="zh-CN"/>
        </w:rPr>
        <w:t>药监局</w:t>
      </w:r>
      <w:r>
        <w:rPr>
          <w:rFonts w:hint="eastAsia" w:ascii="仿宋_GB2312" w:hAnsi="仿宋_GB2312" w:eastAsia="仿宋_GB2312" w:cs="仿宋_GB2312"/>
          <w:b/>
          <w:bCs/>
          <w:color w:val="auto"/>
          <w:kern w:val="2"/>
          <w:sz w:val="32"/>
          <w:szCs w:val="32"/>
          <w:u w:val="none" w:color="auto"/>
          <w:lang w:val="en-US" w:eastAsia="zh-CN" w:bidi="ar-SA"/>
        </w:rPr>
        <w:t>按职责分工负责</w:t>
      </w:r>
      <w:r>
        <w:rPr>
          <w:rFonts w:hint="eastAsia" w:ascii="仿宋_GB2312" w:hAnsi="仿宋_GB2312" w:eastAsia="仿宋_GB2312" w:cs="仿宋_GB2312"/>
          <w:b/>
          <w:bCs/>
          <w:color w:val="auto"/>
          <w:sz w:val="32"/>
          <w:szCs w:val="32"/>
          <w:u w:val="none" w:color="auto"/>
        </w:rPr>
        <w:t>）</w:t>
      </w:r>
    </w:p>
    <w:p>
      <w:pPr>
        <w:keepNext w:val="0"/>
        <w:keepLines w:val="0"/>
        <w:pageBreakBefore w:val="0"/>
        <w:widowControl w:val="0"/>
        <w:kinsoku/>
        <w:wordWrap/>
        <w:overflowPunct/>
        <w:topLinePunct w:val="0"/>
        <w:autoSpaceDE/>
        <w:autoSpaceDN/>
        <w:bidi w:val="0"/>
        <w:adjustRightInd/>
        <w:snapToGrid/>
        <w:spacing w:afterLines="0" w:line="600" w:lineRule="exact"/>
        <w:ind w:firstLine="640" w:firstLineChars="200"/>
        <w:textAlignment w:val="auto"/>
        <w:rPr>
          <w:rFonts w:hint="eastAsia" w:ascii="仿宋_GB2312" w:hAnsi="仿宋_GB2312" w:eastAsia="仿宋_GB2312" w:cs="仿宋_GB2312"/>
          <w:color w:val="auto"/>
          <w:sz w:val="32"/>
          <w:szCs w:val="32"/>
          <w:u w:val="none" w:color="auto"/>
        </w:rPr>
      </w:pPr>
      <w:r>
        <w:rPr>
          <w:rFonts w:hint="eastAsia" w:ascii="楷体_GB2312" w:hAnsi="楷体_GB2312" w:eastAsia="楷体_GB2312" w:cs="楷体_GB2312"/>
          <w:color w:val="auto"/>
          <w:sz w:val="32"/>
          <w:szCs w:val="32"/>
          <w:u w:val="none" w:color="auto"/>
          <w:lang w:val="en-US" w:eastAsia="zh-CN"/>
        </w:rPr>
        <w:t>（六）促进中药企业转型升级。</w:t>
      </w:r>
      <w:r>
        <w:rPr>
          <w:rFonts w:hint="eastAsia" w:ascii="仿宋_GB2312" w:hAnsi="仿宋_GB2312" w:eastAsia="仿宋_GB2312" w:cs="仿宋_GB2312"/>
          <w:b w:val="0"/>
          <w:bCs w:val="0"/>
          <w:color w:val="auto"/>
          <w:sz w:val="32"/>
          <w:szCs w:val="32"/>
          <w:highlight w:val="none"/>
          <w:u w:val="none" w:color="auto"/>
          <w:lang w:eastAsia="zh-CN"/>
        </w:rPr>
        <w:t>探索中药工业高质量发展新模式</w:t>
      </w:r>
      <w:r>
        <w:rPr>
          <w:rFonts w:hint="default" w:ascii="仿宋_GB2312" w:hAnsi="仿宋_GB2312" w:eastAsia="仿宋_GB2312" w:cs="仿宋_GB2312"/>
          <w:b w:val="0"/>
          <w:bCs w:val="0"/>
          <w:color w:val="auto"/>
          <w:sz w:val="32"/>
          <w:szCs w:val="32"/>
          <w:highlight w:val="none"/>
          <w:u w:val="none" w:color="auto"/>
          <w:lang w:val="en-US" w:eastAsia="zh-CN"/>
        </w:rPr>
        <w:t>。</w:t>
      </w:r>
      <w:r>
        <w:rPr>
          <w:rFonts w:hint="eastAsia" w:ascii="仿宋_GB2312" w:hAnsi="仿宋_GB2312" w:eastAsia="仿宋_GB2312" w:cs="仿宋_GB2312"/>
          <w:b w:val="0"/>
          <w:bCs w:val="0"/>
          <w:color w:val="auto"/>
          <w:sz w:val="32"/>
          <w:szCs w:val="32"/>
          <w:highlight w:val="none"/>
          <w:u w:val="none" w:color="auto"/>
          <w:lang w:eastAsia="zh-CN"/>
        </w:rPr>
        <w:t>鼓励战略性并购重组和资源整合，</w:t>
      </w:r>
      <w:r>
        <w:rPr>
          <w:rFonts w:hint="eastAsia" w:ascii="仿宋_GB2312" w:hAnsi="仿宋_GB2312" w:eastAsia="仿宋_GB2312" w:cs="仿宋_GB2312"/>
          <w:b w:val="0"/>
          <w:bCs w:val="0"/>
          <w:color w:val="auto"/>
          <w:sz w:val="32"/>
          <w:szCs w:val="32"/>
          <w:highlight w:val="none"/>
          <w:u w:val="none" w:color="auto"/>
          <w:lang w:val="en-US" w:eastAsia="zh-CN"/>
        </w:rPr>
        <w:t>培优扶强龙头企业，</w:t>
      </w:r>
      <w:r>
        <w:rPr>
          <w:rFonts w:hint="eastAsia" w:ascii="仿宋_GB2312" w:hAnsi="仿宋_GB2312" w:eastAsia="仿宋_GB2312" w:cs="仿宋_GB2312"/>
          <w:b w:val="0"/>
          <w:bCs w:val="0"/>
          <w:color w:val="auto"/>
          <w:sz w:val="32"/>
          <w:szCs w:val="32"/>
          <w:highlight w:val="none"/>
          <w:u w:val="none" w:color="auto"/>
          <w:lang w:eastAsia="zh-CN"/>
        </w:rPr>
        <w:t>有效带动产业链上下游互联互通互补。引导中药企业加快智能化改造，梯度建设智能工厂。支持企业</w:t>
      </w:r>
      <w:r>
        <w:rPr>
          <w:rFonts w:hint="eastAsia" w:ascii="仿宋_GB2312" w:hAnsi="仿宋_GB2312" w:eastAsia="仿宋_GB2312" w:cs="仿宋_GB2312"/>
          <w:color w:val="auto"/>
          <w:sz w:val="32"/>
          <w:szCs w:val="32"/>
          <w:u w:val="none" w:color="auto"/>
          <w:lang w:val="en-US" w:eastAsia="zh-CN"/>
        </w:rPr>
        <w:t>参评“福建老字号”“中华老字号”，</w:t>
      </w:r>
      <w:r>
        <w:rPr>
          <w:rFonts w:hint="eastAsia" w:ascii="仿宋_GB2312" w:hAnsi="仿宋_GB2312" w:eastAsia="仿宋_GB2312" w:cs="仿宋_GB2312"/>
          <w:b w:val="0"/>
          <w:bCs w:val="0"/>
          <w:color w:val="auto"/>
          <w:sz w:val="32"/>
          <w:szCs w:val="32"/>
          <w:highlight w:val="none"/>
          <w:u w:val="none" w:color="auto"/>
          <w:lang w:eastAsia="zh-CN"/>
        </w:rPr>
        <w:t>申报国家级和省级政府质量奖，做优做大做强企业品牌。</w:t>
      </w:r>
      <w:r>
        <w:rPr>
          <w:rFonts w:hint="eastAsia" w:ascii="仿宋_GB2312" w:hAnsi="仿宋_GB2312" w:eastAsia="仿宋_GB2312" w:cs="仿宋_GB2312"/>
          <w:b/>
          <w:bCs/>
          <w:color w:val="auto"/>
          <w:sz w:val="32"/>
          <w:szCs w:val="32"/>
          <w:u w:val="none" w:color="auto"/>
        </w:rPr>
        <w:t>（</w:t>
      </w:r>
      <w:r>
        <w:rPr>
          <w:rFonts w:hint="eastAsia" w:ascii="仿宋_GB2312" w:hAnsi="仿宋_GB2312" w:eastAsia="仿宋_GB2312" w:cs="仿宋_GB2312"/>
          <w:b/>
          <w:bCs/>
          <w:color w:val="auto"/>
          <w:sz w:val="32"/>
          <w:szCs w:val="32"/>
          <w:u w:val="none" w:color="auto"/>
          <w:lang w:eastAsia="zh-CN"/>
        </w:rPr>
        <w:t>省委金融办，</w:t>
      </w:r>
      <w:r>
        <w:rPr>
          <w:rFonts w:hint="eastAsia" w:ascii="仿宋_GB2312" w:hAnsi="仿宋_GB2312" w:eastAsia="仿宋_GB2312" w:cs="仿宋_GB2312"/>
          <w:b/>
          <w:bCs/>
          <w:color w:val="auto"/>
          <w:sz w:val="32"/>
          <w:szCs w:val="32"/>
          <w:u w:val="none" w:color="auto"/>
        </w:rPr>
        <w:t>省工信厅、</w:t>
      </w:r>
      <w:r>
        <w:rPr>
          <w:rFonts w:hint="eastAsia" w:ascii="仿宋_GB2312" w:hAnsi="仿宋_GB2312" w:eastAsia="仿宋_GB2312" w:cs="仿宋_GB2312"/>
          <w:b/>
          <w:bCs/>
          <w:color w:val="auto"/>
          <w:sz w:val="32"/>
          <w:szCs w:val="32"/>
          <w:u w:val="none" w:color="auto"/>
          <w:lang w:eastAsia="zh-CN"/>
        </w:rPr>
        <w:t>商务厅、市场监管局、</w:t>
      </w:r>
      <w:r>
        <w:rPr>
          <w:rFonts w:hint="eastAsia" w:ascii="仿宋_GB2312" w:hAnsi="仿宋_GB2312" w:eastAsia="仿宋_GB2312" w:cs="仿宋_GB2312"/>
          <w:b/>
          <w:bCs/>
          <w:color w:val="auto"/>
          <w:sz w:val="32"/>
          <w:szCs w:val="32"/>
          <w:u w:val="none" w:color="auto"/>
        </w:rPr>
        <w:t>药监局</w:t>
      </w:r>
      <w:r>
        <w:rPr>
          <w:rFonts w:hint="eastAsia" w:ascii="仿宋_GB2312" w:hAnsi="仿宋_GB2312" w:eastAsia="仿宋_GB2312" w:cs="仿宋_GB2312"/>
          <w:b/>
          <w:bCs/>
          <w:color w:val="auto"/>
          <w:kern w:val="2"/>
          <w:sz w:val="32"/>
          <w:szCs w:val="32"/>
          <w:u w:val="none" w:color="auto"/>
          <w:lang w:val="en-US" w:eastAsia="zh-CN" w:bidi="ar-SA"/>
        </w:rPr>
        <w:t>按职责分工负责</w:t>
      </w:r>
      <w:r>
        <w:rPr>
          <w:rFonts w:hint="eastAsia" w:ascii="仿宋_GB2312" w:hAnsi="仿宋_GB2312" w:eastAsia="仿宋_GB2312" w:cs="仿宋_GB2312"/>
          <w:b/>
          <w:bCs/>
          <w:color w:val="auto"/>
          <w:sz w:val="32"/>
          <w:szCs w:val="32"/>
          <w:u w:val="none" w:color="auto"/>
        </w:rPr>
        <w:t>）</w:t>
      </w:r>
    </w:p>
    <w:p>
      <w:pPr>
        <w:keepNext w:val="0"/>
        <w:keepLines w:val="0"/>
        <w:pageBreakBefore w:val="0"/>
        <w:widowControl w:val="0"/>
        <w:kinsoku/>
        <w:wordWrap/>
        <w:overflowPunct/>
        <w:topLinePunct w:val="0"/>
        <w:autoSpaceDE/>
        <w:autoSpaceDN/>
        <w:bidi w:val="0"/>
        <w:adjustRightInd/>
        <w:snapToGrid/>
        <w:spacing w:afterLines="0" w:line="600" w:lineRule="exact"/>
        <w:ind w:firstLine="640" w:firstLineChars="200"/>
        <w:textAlignment w:val="auto"/>
        <w:rPr>
          <w:rFonts w:hint="eastAsia" w:ascii="仿宋_GB2312" w:hAnsi="仿宋_GB2312" w:eastAsia="仿宋_GB2312" w:cs="仿宋_GB2312"/>
          <w:b/>
          <w:bCs/>
          <w:color w:val="auto"/>
          <w:sz w:val="32"/>
          <w:szCs w:val="32"/>
          <w:highlight w:val="none"/>
          <w:u w:val="none" w:color="auto"/>
          <w:lang w:val="en-US" w:eastAsia="zh-CN"/>
        </w:rPr>
      </w:pPr>
      <w:r>
        <w:rPr>
          <w:rFonts w:hint="eastAsia" w:ascii="楷体_GB2312" w:hAnsi="楷体_GB2312" w:eastAsia="楷体_GB2312" w:cs="楷体_GB2312"/>
          <w:color w:val="auto"/>
          <w:sz w:val="32"/>
          <w:szCs w:val="32"/>
          <w:u w:val="none" w:color="auto"/>
          <w:lang w:val="en-US" w:eastAsia="zh-CN"/>
        </w:rPr>
        <w:t>（七）支持</w:t>
      </w:r>
      <w:r>
        <w:rPr>
          <w:rFonts w:hint="eastAsia" w:ascii="楷体_GB2312" w:hAnsi="楷体_GB2312" w:eastAsia="楷体_GB2312" w:cs="楷体_GB2312"/>
          <w:color w:val="auto"/>
          <w:sz w:val="32"/>
          <w:szCs w:val="32"/>
          <w:u w:val="none" w:color="auto"/>
          <w:lang w:eastAsia="zh-CN"/>
        </w:rPr>
        <w:t>中药饮片及配方颗粒</w:t>
      </w:r>
      <w:r>
        <w:rPr>
          <w:rFonts w:hint="eastAsia" w:ascii="楷体_GB2312" w:hAnsi="楷体_GB2312" w:eastAsia="楷体_GB2312" w:cs="楷体_GB2312"/>
          <w:color w:val="auto"/>
          <w:sz w:val="32"/>
          <w:szCs w:val="32"/>
          <w:u w:val="none" w:color="auto"/>
        </w:rPr>
        <w:t>发展</w:t>
      </w:r>
      <w:r>
        <w:rPr>
          <w:rFonts w:hint="eastAsia" w:ascii="楷体_GB2312" w:hAnsi="楷体_GB2312" w:eastAsia="楷体_GB2312" w:cs="楷体_GB2312"/>
          <w:color w:val="auto"/>
          <w:sz w:val="32"/>
          <w:szCs w:val="32"/>
          <w:u w:val="none" w:color="auto"/>
          <w:lang w:eastAsia="zh-CN"/>
        </w:rPr>
        <w:t>。</w:t>
      </w:r>
      <w:r>
        <w:rPr>
          <w:rFonts w:hint="eastAsia" w:ascii="仿宋_GB2312" w:hAnsi="仿宋_GB2312" w:eastAsia="仿宋_GB2312" w:cs="仿宋_GB2312"/>
          <w:color w:val="auto"/>
          <w:sz w:val="32"/>
          <w:szCs w:val="32"/>
          <w:highlight w:val="none"/>
          <w:u w:val="none" w:color="auto"/>
          <w:lang w:eastAsia="zh-CN"/>
        </w:rPr>
        <w:t>修订《福建省中药饮片炮制规范》,对外省炮制规范法定标准已收载并属于传统炮制工艺的品种,简化省内审评审批程序。优化中药配方颗粒备案程序。支持中药企业建立涵盖中药饮片及中药配方颗粒的全产业链生产加工能力。</w:t>
      </w:r>
      <w:r>
        <w:rPr>
          <w:rFonts w:hint="eastAsia" w:ascii="仿宋_GB2312" w:hAnsi="仿宋_GB2312" w:eastAsia="仿宋_GB2312" w:cs="仿宋_GB2312"/>
          <w:color w:val="auto"/>
          <w:sz w:val="32"/>
          <w:szCs w:val="32"/>
          <w:highlight w:val="none"/>
          <w:u w:val="none" w:color="auto"/>
          <w:lang w:val="en-US" w:eastAsia="zh-CN"/>
        </w:rPr>
        <w:t>优化</w:t>
      </w:r>
      <w:r>
        <w:rPr>
          <w:rFonts w:hint="eastAsia" w:ascii="仿宋_GB2312" w:hAnsi="仿宋_GB2312" w:eastAsia="仿宋_GB2312" w:cs="仿宋_GB2312"/>
          <w:color w:val="auto"/>
          <w:sz w:val="32"/>
          <w:szCs w:val="32"/>
          <w:highlight w:val="none"/>
          <w:u w:val="none" w:color="auto"/>
          <w:lang w:eastAsia="zh-CN"/>
        </w:rPr>
        <w:t>中药饮片与中药配方颗粒</w:t>
      </w:r>
      <w:r>
        <w:rPr>
          <w:rFonts w:hint="eastAsia" w:ascii="仿宋_GB2312" w:hAnsi="仿宋_GB2312" w:eastAsia="仿宋_GB2312" w:cs="仿宋_GB2312"/>
          <w:color w:val="auto"/>
          <w:sz w:val="32"/>
          <w:szCs w:val="32"/>
          <w:highlight w:val="none"/>
          <w:u w:val="none" w:color="auto"/>
          <w:lang w:val="en-US" w:eastAsia="zh-CN"/>
        </w:rPr>
        <w:t>采购政策，按规定将符合条件的中药饮片与中药配方颗粒纳入我省医保支付范围。</w:t>
      </w:r>
      <w:r>
        <w:rPr>
          <w:rFonts w:hint="eastAsia" w:ascii="仿宋_GB2312" w:hAnsi="仿宋_GB2312" w:eastAsia="仿宋_GB2312" w:cs="仿宋_GB2312"/>
          <w:b w:val="0"/>
          <w:bCs w:val="0"/>
          <w:color w:val="auto"/>
          <w:sz w:val="32"/>
          <w:szCs w:val="32"/>
          <w:u w:val="none" w:color="auto"/>
          <w:lang w:val="en-US" w:eastAsia="zh-CN"/>
        </w:rPr>
        <w:t>到2030年，争取全省新增中药饮片炮制规范20个，中药配方颗粒品种</w:t>
      </w:r>
      <w:r>
        <w:rPr>
          <w:rFonts w:hint="eastAsia" w:ascii="仿宋_GB2312" w:hAnsi="仿宋_GB2312" w:eastAsia="仿宋_GB2312" w:cs="仿宋_GB2312"/>
          <w:b w:val="0"/>
          <w:bCs w:val="0"/>
          <w:color w:val="auto"/>
          <w:sz w:val="32"/>
          <w:szCs w:val="32"/>
          <w:highlight w:val="none"/>
          <w:u w:val="none" w:color="auto"/>
          <w:lang w:val="en-US" w:eastAsia="zh-CN"/>
        </w:rPr>
        <w:t>15个</w:t>
      </w:r>
      <w:r>
        <w:rPr>
          <w:rFonts w:hint="eastAsia" w:ascii="仿宋_GB2312" w:hAnsi="仿宋_GB2312" w:eastAsia="仿宋_GB2312" w:cs="仿宋_GB2312"/>
          <w:b w:val="0"/>
          <w:bCs w:val="0"/>
          <w:color w:val="auto"/>
          <w:sz w:val="32"/>
          <w:szCs w:val="32"/>
          <w:u w:val="none" w:color="auto"/>
          <w:lang w:val="en-US" w:eastAsia="zh-CN"/>
        </w:rPr>
        <w:t>。</w:t>
      </w:r>
      <w:r>
        <w:rPr>
          <w:rFonts w:hint="eastAsia" w:ascii="仿宋_GB2312" w:hAnsi="仿宋_GB2312" w:eastAsia="仿宋_GB2312" w:cs="仿宋_GB2312"/>
          <w:b/>
          <w:bCs/>
          <w:color w:val="auto"/>
          <w:sz w:val="32"/>
          <w:szCs w:val="32"/>
          <w:highlight w:val="none"/>
          <w:u w:val="none" w:color="auto"/>
          <w:lang w:val="en-US" w:eastAsia="zh-CN"/>
        </w:rPr>
        <w:t>（省药监局、工信厅、医保局、卫健委</w:t>
      </w:r>
      <w:r>
        <w:rPr>
          <w:rFonts w:hint="eastAsia" w:ascii="仿宋_GB2312" w:hAnsi="仿宋_GB2312" w:eastAsia="仿宋_GB2312" w:cs="仿宋_GB2312"/>
          <w:b/>
          <w:bCs/>
          <w:color w:val="auto"/>
          <w:kern w:val="2"/>
          <w:sz w:val="32"/>
          <w:szCs w:val="32"/>
          <w:u w:val="none" w:color="auto"/>
          <w:lang w:val="en-US" w:eastAsia="zh-CN" w:bidi="ar-SA"/>
        </w:rPr>
        <w:t>按职责分工负责</w:t>
      </w:r>
      <w:r>
        <w:rPr>
          <w:rFonts w:hint="eastAsia" w:ascii="仿宋_GB2312" w:hAnsi="仿宋_GB2312" w:eastAsia="仿宋_GB2312" w:cs="仿宋_GB2312"/>
          <w:b/>
          <w:bCs/>
          <w:color w:val="auto"/>
          <w:sz w:val="32"/>
          <w:szCs w:val="32"/>
          <w:highlight w:val="none"/>
          <w:u w:val="none" w:color="auto"/>
          <w:lang w:val="en-US" w:eastAsia="zh-CN"/>
        </w:rPr>
        <w:t>）</w:t>
      </w:r>
    </w:p>
    <w:p>
      <w:pPr>
        <w:keepNext w:val="0"/>
        <w:keepLines w:val="0"/>
        <w:pageBreakBefore w:val="0"/>
        <w:widowControl w:val="0"/>
        <w:kinsoku/>
        <w:wordWrap/>
        <w:overflowPunct/>
        <w:topLinePunct w:val="0"/>
        <w:autoSpaceDE/>
        <w:autoSpaceDN/>
        <w:bidi w:val="0"/>
        <w:adjustRightInd/>
        <w:snapToGrid/>
        <w:spacing w:afterLines="0" w:line="600" w:lineRule="exact"/>
        <w:ind w:firstLine="640" w:firstLineChars="200"/>
        <w:textAlignment w:val="auto"/>
        <w:rPr>
          <w:rFonts w:hint="eastAsia" w:ascii="仿宋_GB2312" w:hAnsi="仿宋_GB2312" w:eastAsia="仿宋_GB2312" w:cs="仿宋_GB2312"/>
          <w:b/>
          <w:bCs/>
          <w:color w:val="auto"/>
          <w:sz w:val="32"/>
          <w:szCs w:val="32"/>
          <w:highlight w:val="none"/>
          <w:u w:val="none" w:color="auto"/>
          <w:lang w:val="en-US" w:eastAsia="zh-CN"/>
        </w:rPr>
      </w:pPr>
      <w:r>
        <w:rPr>
          <w:rFonts w:hint="eastAsia" w:ascii="黑体" w:hAnsi="黑体" w:eastAsia="黑体" w:cs="黑体"/>
          <w:b w:val="0"/>
          <w:bCs w:val="0"/>
          <w:color w:val="auto"/>
          <w:sz w:val="32"/>
          <w:szCs w:val="32"/>
          <w:highlight w:val="none"/>
          <w:u w:val="none" w:color="auto"/>
          <w:lang w:val="en-US" w:eastAsia="zh-CN"/>
        </w:rPr>
        <w:t>三、促进中药创新开放发展</w:t>
      </w:r>
    </w:p>
    <w:p>
      <w:pPr>
        <w:keepNext w:val="0"/>
        <w:keepLines w:val="0"/>
        <w:pageBreakBefore w:val="0"/>
        <w:widowControl w:val="0"/>
        <w:kinsoku/>
        <w:wordWrap/>
        <w:overflowPunct/>
        <w:topLinePunct w:val="0"/>
        <w:autoSpaceDE/>
        <w:autoSpaceDN/>
        <w:bidi w:val="0"/>
        <w:adjustRightInd/>
        <w:snapToGrid/>
        <w:spacing w:afterLines="0" w:line="600" w:lineRule="exact"/>
        <w:ind w:firstLine="640" w:firstLineChars="200"/>
        <w:textAlignment w:val="auto"/>
        <w:rPr>
          <w:rFonts w:hint="eastAsia" w:ascii="仿宋_GB2312" w:hAnsi="仿宋_GB2312" w:eastAsia="仿宋_GB2312" w:cs="仿宋_GB2312"/>
          <w:b/>
          <w:bCs/>
          <w:color w:val="auto"/>
          <w:sz w:val="32"/>
          <w:szCs w:val="32"/>
          <w:highlight w:val="none"/>
          <w:u w:val="none" w:color="auto"/>
          <w:lang w:val="en-US" w:eastAsia="zh-CN"/>
        </w:rPr>
      </w:pPr>
      <w:r>
        <w:rPr>
          <w:rFonts w:hint="eastAsia" w:ascii="楷体_GB2312" w:hAnsi="楷体_GB2312" w:eastAsia="楷体_GB2312" w:cs="楷体_GB2312"/>
          <w:color w:val="auto"/>
          <w:sz w:val="32"/>
          <w:szCs w:val="32"/>
          <w:u w:val="none" w:color="auto"/>
          <w:lang w:val="en-US" w:eastAsia="zh-CN"/>
        </w:rPr>
        <w:t>（八）鼓励中药创新发展。</w:t>
      </w:r>
      <w:r>
        <w:rPr>
          <w:rFonts w:hint="eastAsia" w:ascii="仿宋_GB2312" w:hAnsi="仿宋_GB2312" w:eastAsia="仿宋_GB2312" w:cs="仿宋_GB2312"/>
          <w:color w:val="auto"/>
          <w:sz w:val="32"/>
          <w:szCs w:val="32"/>
          <w:u w:val="none" w:color="auto"/>
          <w:lang w:val="en-US" w:eastAsia="zh-CN"/>
        </w:rPr>
        <w:t>鼓励高校、科研院所和医药企业以临床需求为导向，开展中药新药、古代经典名方中药复方制剂、同名同方药研发工作，</w:t>
      </w:r>
      <w:r>
        <w:rPr>
          <w:rFonts w:hint="eastAsia" w:ascii="仿宋_GB2312" w:hAnsi="仿宋_GB2312" w:eastAsia="仿宋_GB2312" w:cs="仿宋_GB2312"/>
          <w:color w:val="auto"/>
          <w:kern w:val="2"/>
          <w:sz w:val="32"/>
          <w:szCs w:val="32"/>
          <w:highlight w:val="none"/>
          <w:u w:val="none" w:color="auto"/>
          <w:lang w:val="en-US" w:eastAsia="zh-CN" w:bidi="ar-SA"/>
        </w:rPr>
        <w:t>支持福建传统名优中药二次开发。对符合条件的1类中药创新药、2类中药改良型新药给予奖励补助。开展</w:t>
      </w:r>
      <w:r>
        <w:rPr>
          <w:rFonts w:hint="eastAsia" w:ascii="仿宋_GB2312" w:hAnsi="仿宋_GB2312" w:eastAsia="仿宋_GB2312" w:cs="仿宋_GB2312"/>
          <w:color w:val="auto"/>
          <w:sz w:val="32"/>
          <w:szCs w:val="32"/>
          <w:highlight w:val="none"/>
          <w:u w:val="none" w:color="auto"/>
          <w:lang w:val="en-US" w:eastAsia="zh-CN"/>
        </w:rPr>
        <w:t>“闽医名方”遴选，建立动态品种库，支持名老中医经验方向中药制剂转化</w:t>
      </w: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color w:val="auto"/>
          <w:sz w:val="32"/>
          <w:szCs w:val="32"/>
          <w:highlight w:val="none"/>
          <w:u w:val="none" w:color="auto"/>
        </w:rPr>
        <w:t>特色优势中药制剂向中药新药转化</w:t>
      </w:r>
      <w:r>
        <w:rPr>
          <w:rFonts w:hint="eastAsia" w:ascii="仿宋_GB2312" w:hAnsi="仿宋_GB2312" w:eastAsia="仿宋_GB2312" w:cs="仿宋_GB2312"/>
          <w:color w:val="auto"/>
          <w:sz w:val="32"/>
          <w:szCs w:val="32"/>
          <w:highlight w:val="none"/>
          <w:u w:val="none" w:color="auto"/>
          <w:lang w:val="en-US" w:eastAsia="zh-CN"/>
        </w:rPr>
        <w:t>。支持以临床需求为基础，中药新药转化为导向的中药制剂调剂，建立</w:t>
      </w:r>
      <w:r>
        <w:rPr>
          <w:rFonts w:hint="eastAsia" w:ascii="仿宋_GB2312" w:hAnsi="仿宋_GB2312" w:eastAsia="仿宋_GB2312" w:cs="仿宋_GB2312"/>
          <w:color w:val="auto"/>
          <w:sz w:val="32"/>
          <w:szCs w:val="32"/>
          <w:highlight w:val="none"/>
          <w:u w:val="none" w:color="auto"/>
        </w:rPr>
        <w:t>调剂品种目录，</w:t>
      </w:r>
      <w:r>
        <w:rPr>
          <w:rFonts w:hint="eastAsia" w:ascii="仿宋_GB2312" w:hAnsi="仿宋_GB2312" w:eastAsia="仿宋_GB2312" w:cs="仿宋_GB2312"/>
          <w:color w:val="auto"/>
          <w:sz w:val="32"/>
          <w:szCs w:val="32"/>
          <w:highlight w:val="none"/>
          <w:u w:val="none" w:color="auto"/>
          <w:lang w:eastAsia="zh-CN"/>
        </w:rPr>
        <w:t>优化</w:t>
      </w:r>
      <w:r>
        <w:rPr>
          <w:rFonts w:hint="eastAsia" w:ascii="仿宋_GB2312" w:hAnsi="仿宋_GB2312" w:eastAsia="仿宋_GB2312" w:cs="仿宋_GB2312"/>
          <w:color w:val="auto"/>
          <w:sz w:val="32"/>
          <w:szCs w:val="32"/>
          <w:highlight w:val="none"/>
          <w:u w:val="none" w:color="auto"/>
        </w:rPr>
        <w:t>调剂使用机制。支持建设区域医疗机构中药制剂配制中心</w:t>
      </w:r>
      <w:r>
        <w:rPr>
          <w:rFonts w:hint="eastAsia" w:ascii="仿宋_GB2312" w:hAnsi="仿宋_GB2312" w:eastAsia="仿宋_GB2312" w:cs="仿宋_GB2312"/>
          <w:color w:val="auto"/>
          <w:sz w:val="32"/>
          <w:szCs w:val="32"/>
          <w:highlight w:val="none"/>
          <w:u w:val="none" w:color="auto"/>
          <w:lang w:eastAsia="zh-CN"/>
        </w:rPr>
        <w:t>，积极争取国家中药特色制剂中心建设项目。</w:t>
      </w:r>
      <w:r>
        <w:rPr>
          <w:rFonts w:hint="eastAsia" w:ascii="仿宋_GB2312" w:hAnsi="仿宋_GB2312" w:eastAsia="仿宋_GB2312" w:cs="仿宋_GB2312"/>
          <w:b/>
          <w:bCs/>
          <w:color w:val="auto"/>
          <w:sz w:val="32"/>
          <w:szCs w:val="32"/>
          <w:highlight w:val="none"/>
          <w:u w:val="none" w:color="auto"/>
        </w:rPr>
        <w:t>（省科技厅、药监局、工信厅、卫健委、医保局</w:t>
      </w:r>
      <w:r>
        <w:rPr>
          <w:rFonts w:hint="eastAsia" w:ascii="仿宋_GB2312" w:hAnsi="仿宋_GB2312" w:eastAsia="仿宋_GB2312" w:cs="仿宋_GB2312"/>
          <w:b/>
          <w:bCs/>
          <w:color w:val="auto"/>
          <w:kern w:val="2"/>
          <w:sz w:val="32"/>
          <w:szCs w:val="32"/>
          <w:u w:val="none" w:color="auto"/>
          <w:lang w:val="en-US" w:eastAsia="zh-CN" w:bidi="ar-SA"/>
        </w:rPr>
        <w:t>按职责分工负责</w:t>
      </w:r>
      <w:r>
        <w:rPr>
          <w:rFonts w:hint="eastAsia" w:ascii="仿宋_GB2312" w:hAnsi="仿宋_GB2312" w:eastAsia="仿宋_GB2312" w:cs="仿宋_GB2312"/>
          <w:b/>
          <w:bCs/>
          <w:color w:val="auto"/>
          <w:sz w:val="32"/>
          <w:szCs w:val="32"/>
          <w:highlight w:val="none"/>
          <w:u w:val="none" w:color="auto"/>
        </w:rPr>
        <w:t>）</w:t>
      </w:r>
    </w:p>
    <w:p>
      <w:pPr>
        <w:keepNext w:val="0"/>
        <w:keepLines w:val="0"/>
        <w:pageBreakBefore w:val="0"/>
        <w:widowControl w:val="0"/>
        <w:kinsoku/>
        <w:wordWrap/>
        <w:overflowPunct/>
        <w:topLinePunct w:val="0"/>
        <w:autoSpaceDE/>
        <w:autoSpaceDN/>
        <w:bidi w:val="0"/>
        <w:adjustRightInd/>
        <w:snapToGrid/>
        <w:spacing w:afterLines="0" w:line="600" w:lineRule="exact"/>
        <w:ind w:firstLine="640" w:firstLineChars="200"/>
        <w:textAlignment w:val="auto"/>
        <w:rPr>
          <w:rFonts w:hint="eastAsia" w:ascii="楷体_GB2312" w:hAnsi="楷体_GB2312" w:eastAsia="楷体_GB2312" w:cs="楷体_GB2312"/>
          <w:color w:val="auto"/>
          <w:sz w:val="32"/>
          <w:szCs w:val="32"/>
          <w:u w:val="none" w:color="auto"/>
          <w:lang w:val="en-US" w:eastAsia="zh-CN"/>
        </w:rPr>
      </w:pPr>
      <w:r>
        <w:rPr>
          <w:rFonts w:hint="eastAsia" w:ascii="楷体_GB2312" w:hAnsi="楷体_GB2312" w:eastAsia="楷体_GB2312" w:cs="楷体_GB2312"/>
          <w:color w:val="auto"/>
          <w:kern w:val="2"/>
          <w:sz w:val="32"/>
          <w:szCs w:val="32"/>
          <w:highlight w:val="none"/>
          <w:u w:val="none" w:color="auto"/>
          <w:lang w:val="en-US" w:eastAsia="zh-CN" w:bidi="ar-SA"/>
        </w:rPr>
        <w:t>（九）加快发展海洋中药产业。</w:t>
      </w:r>
      <w:r>
        <w:rPr>
          <w:rFonts w:hint="eastAsia" w:ascii="仿宋_GB2312" w:hAnsi="仿宋_GB2312" w:eastAsia="仿宋_GB2312" w:cs="仿宋_GB2312"/>
          <w:color w:val="auto"/>
          <w:kern w:val="2"/>
          <w:sz w:val="32"/>
          <w:szCs w:val="32"/>
          <w:highlight w:val="none"/>
          <w:u w:val="none" w:color="auto"/>
          <w:lang w:val="en-US" w:eastAsia="zh-CN" w:bidi="ar-SA"/>
        </w:rPr>
        <w:t>鼓励各地开展海洋中药资源普查。支持自然资源部海洋三所、厦门大学、福建中医药大学等科研院所和高校开展海洋中药活性物质研究，建设高水平海洋中药研发平台。依托福建省海洋生物医药产业创新交流平台，推动海洋中药产学研用全产业链融合，积极引导省海洋经济产业投资基金加大对海洋中药领域投资力度，逐步提升我省海洋中药产业竞争力。</w:t>
      </w:r>
      <w:r>
        <w:rPr>
          <w:rFonts w:hint="eastAsia" w:ascii="仿宋_GB2312" w:hAnsi="仿宋_GB2312" w:eastAsia="仿宋_GB2312" w:cs="仿宋_GB2312"/>
          <w:b/>
          <w:bCs/>
          <w:color w:val="auto"/>
          <w:sz w:val="32"/>
          <w:szCs w:val="32"/>
          <w:highlight w:val="none"/>
          <w:u w:val="none" w:color="auto"/>
        </w:rPr>
        <w:t>（省工信厅、</w:t>
      </w:r>
      <w:r>
        <w:rPr>
          <w:rFonts w:hint="eastAsia" w:ascii="仿宋_GB2312" w:hAnsi="仿宋_GB2312" w:eastAsia="仿宋_GB2312" w:cs="仿宋_GB2312"/>
          <w:b/>
          <w:bCs/>
          <w:color w:val="auto"/>
          <w:sz w:val="32"/>
          <w:szCs w:val="32"/>
          <w:highlight w:val="none"/>
          <w:u w:val="none" w:color="auto"/>
          <w:lang w:eastAsia="zh-CN"/>
        </w:rPr>
        <w:t>科技厅、海洋渔业局、药监局、卫健委</w:t>
      </w:r>
      <w:r>
        <w:rPr>
          <w:rFonts w:hint="eastAsia" w:ascii="仿宋_GB2312" w:hAnsi="仿宋_GB2312" w:eastAsia="仿宋_GB2312" w:cs="仿宋_GB2312"/>
          <w:b/>
          <w:bCs/>
          <w:color w:val="auto"/>
          <w:kern w:val="2"/>
          <w:sz w:val="32"/>
          <w:szCs w:val="32"/>
          <w:highlight w:val="none"/>
          <w:u w:val="none" w:color="auto"/>
          <w:lang w:val="en-US" w:eastAsia="zh-CN" w:bidi="ar-SA"/>
        </w:rPr>
        <w:t>按职责分工负责</w:t>
      </w:r>
      <w:r>
        <w:rPr>
          <w:rFonts w:hint="eastAsia" w:ascii="仿宋_GB2312" w:hAnsi="仿宋_GB2312" w:eastAsia="仿宋_GB2312" w:cs="仿宋_GB2312"/>
          <w:b/>
          <w:bCs/>
          <w:color w:val="auto"/>
          <w:sz w:val="32"/>
          <w:szCs w:val="32"/>
          <w:highlight w:val="none"/>
          <w:u w:val="none" w:color="auto"/>
        </w:rPr>
        <w:t>）</w:t>
      </w:r>
    </w:p>
    <w:p>
      <w:pPr>
        <w:keepNext w:val="0"/>
        <w:keepLines w:val="0"/>
        <w:pageBreakBefore w:val="0"/>
        <w:widowControl w:val="0"/>
        <w:kinsoku/>
        <w:wordWrap/>
        <w:overflowPunct/>
        <w:topLinePunct w:val="0"/>
        <w:autoSpaceDE/>
        <w:autoSpaceDN/>
        <w:bidi w:val="0"/>
        <w:adjustRightInd/>
        <w:snapToGrid/>
        <w:spacing w:afterLines="0" w:line="600" w:lineRule="exact"/>
        <w:ind w:firstLine="640" w:firstLineChars="200"/>
        <w:textAlignment w:val="auto"/>
        <w:rPr>
          <w:rFonts w:hint="eastAsia" w:ascii="仿宋_GB2312" w:hAnsi="仿宋_GB2312" w:eastAsia="仿宋_GB2312" w:cs="仿宋_GB2312"/>
          <w:b/>
          <w:bCs/>
          <w:color w:val="auto"/>
          <w:sz w:val="32"/>
          <w:szCs w:val="32"/>
          <w:u w:val="none" w:color="auto"/>
          <w:lang w:val="en-US" w:eastAsia="zh-CN"/>
        </w:rPr>
      </w:pPr>
      <w:r>
        <w:rPr>
          <w:rFonts w:hint="eastAsia" w:ascii="楷体_GB2312" w:hAnsi="楷体_GB2312" w:eastAsia="楷体_GB2312" w:cs="楷体_GB2312"/>
          <w:color w:val="auto"/>
          <w:sz w:val="32"/>
          <w:szCs w:val="32"/>
          <w:u w:val="none" w:color="auto"/>
          <w:lang w:val="en-US" w:eastAsia="zh-CN"/>
        </w:rPr>
        <w:t>（十）大力发展“中医药+”新业态。</w:t>
      </w:r>
      <w:r>
        <w:rPr>
          <w:rFonts w:hint="eastAsia" w:ascii="仿宋_GB2312" w:hAnsi="仿宋_GB2312" w:eastAsia="仿宋_GB2312" w:cs="仿宋_GB2312"/>
          <w:color w:val="auto"/>
          <w:sz w:val="32"/>
          <w:szCs w:val="32"/>
          <w:u w:val="none" w:color="auto"/>
          <w:lang w:eastAsia="zh-CN"/>
        </w:rPr>
        <w:t>推动</w:t>
      </w:r>
      <w:r>
        <w:rPr>
          <w:rFonts w:hint="eastAsia" w:ascii="仿宋_GB2312" w:hAnsi="仿宋_GB2312" w:eastAsia="仿宋_GB2312" w:cs="仿宋_GB2312"/>
          <w:color w:val="auto"/>
          <w:sz w:val="32"/>
          <w:szCs w:val="32"/>
          <w:u w:val="none" w:color="auto"/>
        </w:rPr>
        <w:t>食药物质</w:t>
      </w:r>
      <w:r>
        <w:rPr>
          <w:rFonts w:hint="eastAsia" w:ascii="仿宋_GB2312" w:hAnsi="仿宋_GB2312" w:eastAsia="仿宋_GB2312" w:cs="仿宋_GB2312"/>
          <w:color w:val="auto"/>
          <w:sz w:val="32"/>
          <w:szCs w:val="32"/>
          <w:u w:val="none" w:color="auto"/>
          <w:lang w:eastAsia="zh-CN"/>
        </w:rPr>
        <w:t>产业发展，鼓励各地</w:t>
      </w:r>
      <w:r>
        <w:rPr>
          <w:rFonts w:hint="eastAsia" w:ascii="仿宋_GB2312" w:hAnsi="仿宋_GB2312" w:eastAsia="仿宋_GB2312" w:cs="仿宋_GB2312"/>
          <w:color w:val="auto"/>
          <w:sz w:val="32"/>
          <w:szCs w:val="32"/>
          <w:u w:val="none" w:color="auto"/>
          <w:lang w:val="en-US" w:eastAsia="zh-CN"/>
        </w:rPr>
        <w:t>聚焦</w:t>
      </w:r>
      <w:r>
        <w:rPr>
          <w:rFonts w:hint="eastAsia" w:ascii="仿宋_GB2312" w:hAnsi="仿宋_GB2312" w:eastAsia="仿宋_GB2312" w:cs="仿宋_GB2312"/>
          <w:color w:val="auto"/>
          <w:sz w:val="32"/>
          <w:szCs w:val="32"/>
          <w:u w:val="none" w:color="auto"/>
        </w:rPr>
        <w:t>黄精、灵芝、</w:t>
      </w:r>
      <w:r>
        <w:rPr>
          <w:rFonts w:hint="eastAsia" w:ascii="仿宋_GB2312" w:hAnsi="仿宋_GB2312" w:eastAsia="仿宋_GB2312" w:cs="仿宋_GB2312"/>
          <w:color w:val="auto"/>
          <w:sz w:val="32"/>
          <w:szCs w:val="32"/>
          <w:u w:val="none" w:color="auto"/>
          <w:lang w:eastAsia="zh-CN"/>
        </w:rPr>
        <w:t>铁皮石斛</w:t>
      </w:r>
      <w:r>
        <w:rPr>
          <w:rFonts w:hint="eastAsia" w:ascii="仿宋_GB2312" w:hAnsi="仿宋_GB2312" w:eastAsia="仿宋_GB2312" w:cs="仿宋_GB2312"/>
          <w:color w:val="auto"/>
          <w:sz w:val="32"/>
          <w:szCs w:val="32"/>
          <w:u w:val="none" w:color="auto"/>
          <w:lang w:val="en-US" w:eastAsia="zh-CN"/>
        </w:rPr>
        <w:t>等闽产药食同源物质，</w:t>
      </w:r>
      <w:r>
        <w:rPr>
          <w:rFonts w:hint="eastAsia" w:ascii="仿宋_GB2312" w:hAnsi="仿宋_GB2312" w:eastAsia="仿宋_GB2312" w:cs="仿宋_GB2312"/>
          <w:color w:val="auto"/>
          <w:sz w:val="32"/>
          <w:szCs w:val="32"/>
          <w:u w:val="none" w:color="auto"/>
        </w:rPr>
        <w:t>研发保健食品</w:t>
      </w:r>
      <w:r>
        <w:rPr>
          <w:rFonts w:hint="eastAsia" w:ascii="仿宋_GB2312" w:hAnsi="仿宋_GB2312" w:eastAsia="仿宋_GB2312" w:cs="仿宋_GB2312"/>
          <w:color w:val="auto"/>
          <w:sz w:val="32"/>
          <w:szCs w:val="32"/>
          <w:u w:val="none" w:color="auto"/>
          <w:lang w:eastAsia="zh-CN"/>
        </w:rPr>
        <w:t>、食养药膳。支持各地举办</w:t>
      </w:r>
      <w:r>
        <w:rPr>
          <w:rFonts w:hint="eastAsia" w:ascii="仿宋_GB2312" w:hAnsi="仿宋_GB2312" w:eastAsia="仿宋_GB2312" w:cs="仿宋_GB2312"/>
          <w:color w:val="auto"/>
          <w:sz w:val="32"/>
          <w:szCs w:val="32"/>
          <w:u w:val="none" w:color="auto"/>
          <w:lang w:val="en-US" w:eastAsia="zh-CN"/>
        </w:rPr>
        <w:t>中医药膳制作技能大赛，传播食药养生文化。</w:t>
      </w:r>
      <w:r>
        <w:rPr>
          <w:rFonts w:hint="eastAsia" w:ascii="仿宋_GB2312" w:hAnsi="仿宋_GB2312" w:eastAsia="仿宋_GB2312" w:cs="仿宋_GB2312"/>
          <w:color w:val="auto"/>
          <w:sz w:val="32"/>
          <w:szCs w:val="32"/>
          <w:u w:val="none" w:color="auto"/>
          <w:lang w:eastAsia="zh-CN"/>
        </w:rPr>
        <w:t>支持</w:t>
      </w:r>
      <w:r>
        <w:rPr>
          <w:rFonts w:hint="eastAsia" w:ascii="仿宋_GB2312" w:hAnsi="仿宋_GB2312" w:eastAsia="仿宋_GB2312" w:cs="仿宋_GB2312"/>
          <w:color w:val="auto"/>
          <w:sz w:val="32"/>
          <w:szCs w:val="32"/>
          <w:u w:val="none" w:color="auto"/>
        </w:rPr>
        <w:t>企业</w:t>
      </w:r>
      <w:r>
        <w:rPr>
          <w:rFonts w:hint="eastAsia" w:ascii="仿宋_GB2312" w:hAnsi="仿宋_GB2312" w:eastAsia="仿宋_GB2312" w:cs="仿宋_GB2312"/>
          <w:color w:val="auto"/>
          <w:sz w:val="32"/>
          <w:szCs w:val="32"/>
          <w:u w:val="none" w:color="auto"/>
          <w:lang w:val="en-US" w:eastAsia="zh-CN"/>
        </w:rPr>
        <w:t>以</w:t>
      </w:r>
      <w:r>
        <w:rPr>
          <w:rFonts w:hint="eastAsia" w:ascii="仿宋_GB2312" w:hAnsi="仿宋_GB2312" w:eastAsia="仿宋_GB2312" w:cs="仿宋_GB2312"/>
          <w:color w:val="auto"/>
          <w:sz w:val="32"/>
          <w:szCs w:val="32"/>
          <w:u w:val="none" w:color="auto"/>
          <w:lang w:eastAsia="zh-CN"/>
        </w:rPr>
        <w:t>中药材为原料，研发</w:t>
      </w:r>
      <w:r>
        <w:rPr>
          <w:rFonts w:hint="eastAsia" w:ascii="仿宋_GB2312" w:hAnsi="仿宋_GB2312" w:eastAsia="仿宋_GB2312" w:cs="仿宋_GB2312"/>
          <w:color w:val="auto"/>
          <w:sz w:val="32"/>
          <w:szCs w:val="32"/>
          <w:u w:val="none" w:color="auto"/>
        </w:rPr>
        <w:t>功能性化妆品、日化用品</w:t>
      </w:r>
      <w:r>
        <w:rPr>
          <w:rFonts w:hint="eastAsia" w:ascii="仿宋_GB2312" w:hAnsi="仿宋_GB2312" w:eastAsia="仿宋_GB2312" w:cs="仿宋_GB2312"/>
          <w:color w:val="auto"/>
          <w:sz w:val="32"/>
          <w:szCs w:val="32"/>
          <w:u w:val="none" w:color="auto"/>
          <w:lang w:eastAsia="zh-CN"/>
        </w:rPr>
        <w:t>等</w:t>
      </w:r>
      <w:r>
        <w:rPr>
          <w:rFonts w:hint="eastAsia" w:ascii="仿宋_GB2312" w:hAnsi="仿宋_GB2312" w:eastAsia="仿宋_GB2312" w:cs="仿宋_GB2312"/>
          <w:color w:val="auto"/>
          <w:sz w:val="32"/>
          <w:szCs w:val="32"/>
          <w:u w:val="none" w:color="auto"/>
          <w:lang w:val="en-US" w:eastAsia="zh-CN"/>
        </w:rPr>
        <w:t>“中医药+”衍生产品</w:t>
      </w:r>
      <w:r>
        <w:rPr>
          <w:rFonts w:hint="eastAsia" w:ascii="仿宋_GB2312" w:hAnsi="仿宋_GB2312" w:eastAsia="仿宋_GB2312" w:cs="仿宋_GB2312"/>
          <w:color w:val="auto"/>
          <w:sz w:val="32"/>
          <w:szCs w:val="32"/>
          <w:u w:val="none" w:color="auto"/>
        </w:rPr>
        <w:t>。</w:t>
      </w:r>
      <w:r>
        <w:rPr>
          <w:rFonts w:hint="eastAsia" w:ascii="仿宋_GB2312" w:hAnsi="仿宋_GB2312" w:eastAsia="仿宋_GB2312" w:cs="仿宋_GB2312"/>
          <w:color w:val="auto"/>
          <w:sz w:val="32"/>
          <w:szCs w:val="32"/>
          <w:u w:val="none" w:color="auto"/>
          <w:lang w:val="en-US" w:eastAsia="zh-CN"/>
        </w:rPr>
        <w:t>推动“中医药+”文旅、康养产业发展，</w:t>
      </w:r>
      <w:r>
        <w:rPr>
          <w:rFonts w:hint="eastAsia" w:ascii="仿宋_GB2312" w:hAnsi="仿宋_GB2312" w:eastAsia="仿宋_GB2312" w:cs="仿宋_GB2312"/>
          <w:color w:val="auto"/>
          <w:sz w:val="32"/>
          <w:szCs w:val="32"/>
          <w:u w:val="none" w:color="auto"/>
          <w:lang w:eastAsia="zh-CN"/>
        </w:rPr>
        <w:t>支持各地充分利用</w:t>
      </w:r>
      <w:r>
        <w:rPr>
          <w:rFonts w:hint="eastAsia" w:ascii="仿宋_GB2312" w:hAnsi="仿宋_GB2312" w:eastAsia="仿宋_GB2312" w:cs="仿宋_GB2312"/>
          <w:color w:val="auto"/>
          <w:sz w:val="32"/>
          <w:szCs w:val="32"/>
          <w:u w:val="none" w:color="auto"/>
        </w:rPr>
        <w:t>中医药文化宣传</w:t>
      </w:r>
      <w:r>
        <w:rPr>
          <w:rFonts w:hint="eastAsia" w:ascii="仿宋_GB2312" w:hAnsi="仿宋_GB2312" w:eastAsia="仿宋_GB2312" w:cs="仿宋_GB2312"/>
          <w:color w:val="auto"/>
          <w:sz w:val="32"/>
          <w:szCs w:val="32"/>
          <w:u w:val="none" w:color="auto"/>
          <w:lang w:eastAsia="zh-CN"/>
        </w:rPr>
        <w:t>教育</w:t>
      </w:r>
      <w:r>
        <w:rPr>
          <w:rFonts w:hint="eastAsia" w:ascii="仿宋_GB2312" w:hAnsi="仿宋_GB2312" w:eastAsia="仿宋_GB2312" w:cs="仿宋_GB2312"/>
          <w:color w:val="auto"/>
          <w:sz w:val="32"/>
          <w:szCs w:val="32"/>
          <w:u w:val="none" w:color="auto"/>
        </w:rPr>
        <w:t>基地、</w:t>
      </w:r>
      <w:r>
        <w:rPr>
          <w:rFonts w:hint="eastAsia" w:ascii="仿宋_GB2312" w:hAnsi="仿宋_GB2312" w:eastAsia="仿宋_GB2312" w:cs="仿宋_GB2312"/>
          <w:color w:val="auto"/>
          <w:sz w:val="32"/>
          <w:szCs w:val="32"/>
          <w:u w:val="none" w:color="auto"/>
          <w:lang w:eastAsia="zh-CN"/>
        </w:rPr>
        <w:t>传统医药非遗展示</w:t>
      </w:r>
      <w:r>
        <w:rPr>
          <w:rFonts w:hint="eastAsia" w:ascii="仿宋_GB2312" w:hAnsi="仿宋_GB2312" w:eastAsia="仿宋_GB2312" w:cs="仿宋_GB2312"/>
          <w:color w:val="auto"/>
          <w:sz w:val="32"/>
          <w:szCs w:val="32"/>
          <w:u w:val="none" w:color="auto"/>
        </w:rPr>
        <w:t>场馆</w:t>
      </w:r>
      <w:r>
        <w:rPr>
          <w:rFonts w:hint="eastAsia" w:ascii="仿宋_GB2312" w:hAnsi="仿宋_GB2312" w:eastAsia="仿宋_GB2312" w:cs="仿宋_GB2312"/>
          <w:color w:val="auto"/>
          <w:sz w:val="32"/>
          <w:szCs w:val="32"/>
          <w:u w:val="none" w:color="auto"/>
          <w:lang w:eastAsia="zh-CN"/>
        </w:rPr>
        <w:t>、森林康养基地等</w:t>
      </w:r>
      <w:r>
        <w:rPr>
          <w:rFonts w:hint="eastAsia" w:ascii="仿宋_GB2312" w:hAnsi="仿宋_GB2312" w:eastAsia="仿宋_GB2312" w:cs="仿宋_GB2312"/>
          <w:color w:val="auto"/>
          <w:sz w:val="32"/>
          <w:szCs w:val="32"/>
          <w:u w:val="none" w:color="auto"/>
          <w:lang w:val="en-US" w:eastAsia="zh-CN"/>
        </w:rPr>
        <w:t>，</w:t>
      </w:r>
      <w:r>
        <w:rPr>
          <w:rFonts w:hint="eastAsia" w:ascii="仿宋_GB2312" w:hAnsi="仿宋_GB2312" w:eastAsia="仿宋_GB2312" w:cs="仿宋_GB2312"/>
          <w:color w:val="auto"/>
          <w:sz w:val="32"/>
          <w:szCs w:val="32"/>
          <w:u w:val="none" w:color="auto"/>
          <w:lang w:eastAsia="zh-CN"/>
        </w:rPr>
        <w:t>开发</w:t>
      </w:r>
      <w:r>
        <w:rPr>
          <w:rFonts w:hint="eastAsia" w:ascii="仿宋_GB2312" w:hAnsi="仿宋_GB2312" w:eastAsia="仿宋_GB2312" w:cs="仿宋_GB2312"/>
          <w:color w:val="auto"/>
          <w:sz w:val="32"/>
          <w:szCs w:val="32"/>
          <w:u w:val="none" w:color="auto"/>
        </w:rPr>
        <w:t>推介</w:t>
      </w:r>
      <w:r>
        <w:rPr>
          <w:rFonts w:hint="eastAsia" w:ascii="仿宋_GB2312" w:hAnsi="仿宋_GB2312" w:eastAsia="仿宋_GB2312" w:cs="仿宋_GB2312"/>
          <w:color w:val="auto"/>
          <w:sz w:val="32"/>
          <w:szCs w:val="32"/>
          <w:u w:val="none" w:color="auto"/>
          <w:lang w:eastAsia="zh-CN"/>
        </w:rPr>
        <w:t>具有中医药特色的</w:t>
      </w:r>
      <w:r>
        <w:rPr>
          <w:rFonts w:hint="eastAsia" w:ascii="仿宋_GB2312" w:hAnsi="仿宋_GB2312" w:eastAsia="仿宋_GB2312" w:cs="仿宋_GB2312"/>
          <w:color w:val="auto"/>
          <w:sz w:val="32"/>
          <w:szCs w:val="32"/>
          <w:u w:val="none" w:color="auto"/>
        </w:rPr>
        <w:t>精品旅游线路</w:t>
      </w:r>
      <w:r>
        <w:rPr>
          <w:rFonts w:hint="eastAsia" w:ascii="仿宋_GB2312" w:hAnsi="仿宋_GB2312" w:eastAsia="仿宋_GB2312" w:cs="仿宋_GB2312"/>
          <w:color w:val="auto"/>
          <w:sz w:val="32"/>
          <w:szCs w:val="32"/>
          <w:u w:val="none" w:color="auto"/>
          <w:lang w:val="en-US" w:eastAsia="zh-CN"/>
        </w:rPr>
        <w:t>和</w:t>
      </w:r>
      <w:r>
        <w:rPr>
          <w:rFonts w:hint="eastAsia" w:ascii="仿宋_GB2312" w:hAnsi="仿宋_GB2312" w:eastAsia="仿宋_GB2312" w:cs="仿宋_GB2312"/>
          <w:color w:val="auto"/>
          <w:sz w:val="32"/>
          <w:szCs w:val="32"/>
          <w:u w:val="none" w:color="auto"/>
        </w:rPr>
        <w:t>产品</w:t>
      </w:r>
      <w:r>
        <w:rPr>
          <w:rFonts w:hint="eastAsia" w:ascii="仿宋_GB2312" w:hAnsi="仿宋_GB2312" w:eastAsia="仿宋_GB2312" w:cs="仿宋_GB2312"/>
          <w:color w:val="auto"/>
          <w:sz w:val="32"/>
          <w:szCs w:val="32"/>
          <w:u w:val="none" w:color="auto"/>
          <w:lang w:val="en-US" w:eastAsia="zh-CN"/>
        </w:rPr>
        <w:t>。鼓励各地研发推出中医药文创产品，支持优质文创产品统一评选后纳入“福建礼物”精品库并予以统一推销</w:t>
      </w:r>
      <w:r>
        <w:rPr>
          <w:rFonts w:hint="eastAsia" w:ascii="仿宋_GB2312" w:hAnsi="仿宋_GB2312" w:eastAsia="仿宋_GB2312" w:cs="仿宋_GB2312"/>
          <w:color w:val="auto"/>
          <w:sz w:val="32"/>
          <w:szCs w:val="32"/>
          <w:u w:val="none" w:color="auto"/>
          <w:lang w:eastAsia="zh-CN"/>
        </w:rPr>
        <w:t>。</w:t>
      </w:r>
      <w:r>
        <w:rPr>
          <w:rFonts w:hint="eastAsia" w:ascii="仿宋_GB2312" w:hAnsi="仿宋_GB2312" w:eastAsia="仿宋_GB2312" w:cs="仿宋_GB2312"/>
          <w:b/>
          <w:bCs/>
          <w:color w:val="auto"/>
          <w:sz w:val="32"/>
          <w:szCs w:val="32"/>
          <w:u w:val="none" w:color="auto"/>
          <w:lang w:val="en-US" w:eastAsia="zh-CN"/>
        </w:rPr>
        <w:t>（省卫健委、市场监管局、农业农村厅、林业局、</w:t>
      </w:r>
      <w:r>
        <w:rPr>
          <w:rFonts w:hint="eastAsia" w:ascii="仿宋_GB2312" w:hAnsi="仿宋_GB2312" w:eastAsia="仿宋_GB2312" w:cs="仿宋_GB2312"/>
          <w:b/>
          <w:bCs/>
          <w:color w:val="auto"/>
          <w:sz w:val="32"/>
          <w:szCs w:val="32"/>
          <w:u w:val="none" w:color="auto"/>
        </w:rPr>
        <w:t>海洋渔业局</w:t>
      </w:r>
      <w:r>
        <w:rPr>
          <w:rFonts w:hint="eastAsia" w:ascii="仿宋_GB2312" w:hAnsi="仿宋_GB2312" w:eastAsia="仿宋_GB2312" w:cs="仿宋_GB2312"/>
          <w:b/>
          <w:bCs/>
          <w:color w:val="auto"/>
          <w:kern w:val="2"/>
          <w:sz w:val="32"/>
          <w:szCs w:val="32"/>
          <w:u w:val="none" w:color="auto"/>
          <w:lang w:val="en-US" w:eastAsia="zh-CN" w:bidi="ar-SA"/>
        </w:rPr>
        <w:t>、</w:t>
      </w:r>
      <w:r>
        <w:rPr>
          <w:rFonts w:hint="eastAsia" w:ascii="仿宋_GB2312" w:hAnsi="仿宋_GB2312" w:eastAsia="仿宋_GB2312" w:cs="仿宋_GB2312"/>
          <w:b/>
          <w:bCs/>
          <w:color w:val="auto"/>
          <w:sz w:val="32"/>
          <w:szCs w:val="32"/>
          <w:u w:val="none" w:color="auto"/>
          <w:lang w:val="en-US" w:eastAsia="zh-CN"/>
        </w:rPr>
        <w:t>工信厅、科技厅、文旅厅</w:t>
      </w:r>
      <w:r>
        <w:rPr>
          <w:rFonts w:hint="eastAsia" w:ascii="仿宋_GB2312" w:hAnsi="仿宋_GB2312" w:eastAsia="仿宋_GB2312" w:cs="仿宋_GB2312"/>
          <w:b/>
          <w:bCs/>
          <w:color w:val="auto"/>
          <w:kern w:val="2"/>
          <w:sz w:val="32"/>
          <w:szCs w:val="32"/>
          <w:u w:val="none" w:color="auto"/>
          <w:lang w:val="en-US" w:eastAsia="zh-CN" w:bidi="ar-SA"/>
        </w:rPr>
        <w:t>按职责分工负责</w:t>
      </w:r>
      <w:r>
        <w:rPr>
          <w:rFonts w:hint="eastAsia" w:ascii="仿宋_GB2312" w:hAnsi="仿宋_GB2312" w:eastAsia="仿宋_GB2312" w:cs="仿宋_GB2312"/>
          <w:b/>
          <w:bCs/>
          <w:color w:val="auto"/>
          <w:sz w:val="32"/>
          <w:szCs w:val="32"/>
          <w:u w:val="none" w:color="auto"/>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afterLines="0" w:line="600" w:lineRule="exact"/>
        <w:ind w:firstLine="640" w:firstLineChars="200"/>
        <w:textAlignment w:val="auto"/>
        <w:rPr>
          <w:rFonts w:hint="eastAsia" w:ascii="仿宋_GB2312" w:hAnsi="仿宋_GB2312" w:eastAsia="仿宋_GB2312" w:cs="仿宋_GB2312"/>
          <w:b/>
          <w:bCs/>
          <w:color w:val="auto"/>
          <w:sz w:val="32"/>
          <w:szCs w:val="32"/>
          <w:u w:val="none" w:color="auto"/>
          <w:lang w:val="en-US" w:eastAsia="zh-CN"/>
        </w:rPr>
      </w:pPr>
      <w:r>
        <w:rPr>
          <w:rFonts w:hint="eastAsia" w:ascii="楷体_GB2312" w:hAnsi="楷体_GB2312" w:eastAsia="楷体_GB2312" w:cs="楷体_GB2312"/>
          <w:b w:val="0"/>
          <w:bCs w:val="0"/>
          <w:color w:val="auto"/>
          <w:sz w:val="32"/>
          <w:szCs w:val="32"/>
          <w:highlight w:val="none"/>
          <w:u w:val="none" w:color="auto"/>
          <w:lang w:val="en-US" w:eastAsia="zh-CN"/>
        </w:rPr>
        <w:t>（</w:t>
      </w:r>
      <w:r>
        <w:rPr>
          <w:rFonts w:hint="eastAsia" w:ascii="楷体_GB2312" w:hAnsi="楷体_GB2312" w:eastAsia="楷体_GB2312" w:cs="楷体_GB2312"/>
          <w:color w:val="auto"/>
          <w:sz w:val="32"/>
          <w:szCs w:val="32"/>
          <w:highlight w:val="none"/>
          <w:u w:val="none" w:color="auto"/>
          <w:lang w:eastAsia="zh-CN"/>
        </w:rPr>
        <w:t>十一</w:t>
      </w:r>
      <w:r>
        <w:rPr>
          <w:rFonts w:hint="eastAsia" w:ascii="楷体_GB2312" w:hAnsi="楷体_GB2312" w:eastAsia="楷体_GB2312" w:cs="楷体_GB2312"/>
          <w:b w:val="0"/>
          <w:bCs w:val="0"/>
          <w:color w:val="auto"/>
          <w:sz w:val="32"/>
          <w:szCs w:val="32"/>
          <w:highlight w:val="none"/>
          <w:u w:val="none" w:color="auto"/>
          <w:lang w:val="en-US" w:eastAsia="zh-CN"/>
        </w:rPr>
        <w:t>）</w:t>
      </w:r>
      <w:r>
        <w:rPr>
          <w:rFonts w:hint="eastAsia" w:ascii="楷体_GB2312" w:hAnsi="楷体_GB2312" w:eastAsia="楷体_GB2312" w:cs="楷体_GB2312"/>
          <w:color w:val="auto"/>
          <w:sz w:val="32"/>
          <w:szCs w:val="32"/>
          <w:u w:val="none" w:color="auto"/>
          <w:lang w:eastAsia="zh-CN"/>
        </w:rPr>
        <w:t>推动中</w:t>
      </w:r>
      <w:r>
        <w:rPr>
          <w:rFonts w:hint="eastAsia" w:ascii="楷体_GB2312" w:hAnsi="楷体_GB2312" w:eastAsia="楷体_GB2312" w:cs="楷体_GB2312"/>
          <w:color w:val="auto"/>
          <w:sz w:val="32"/>
          <w:szCs w:val="32"/>
          <w:highlight w:val="none"/>
          <w:u w:val="none" w:color="auto"/>
          <w:lang w:eastAsia="zh-CN"/>
        </w:rPr>
        <w:t>药开放发展。</w:t>
      </w:r>
      <w:r>
        <w:rPr>
          <w:rFonts w:hint="eastAsia" w:ascii="仿宋_GB2312" w:hAnsi="仿宋_GB2312" w:eastAsia="仿宋_GB2312" w:cs="仿宋_GB2312"/>
          <w:b w:val="0"/>
          <w:bCs w:val="0"/>
          <w:color w:val="auto"/>
          <w:sz w:val="32"/>
          <w:szCs w:val="32"/>
          <w:highlight w:val="none"/>
          <w:u w:val="none" w:color="auto"/>
          <w:lang w:val="en-US" w:eastAsia="zh-CN"/>
        </w:rPr>
        <w:t>深化与“一带一路”沿线国家和地区中医药交流合作，支持福建中医药大学及医疗机构建设中医药海外机构。利用好闽企出海综合服务体系和“丝路投资”等支持政策，推动</w:t>
      </w:r>
      <w:r>
        <w:rPr>
          <w:rFonts w:hint="eastAsia" w:ascii="仿宋_GB2312" w:hAnsi="仿宋_GB2312" w:eastAsia="仿宋_GB2312" w:cs="仿宋_GB2312"/>
          <w:b w:val="0"/>
          <w:bCs w:val="0"/>
          <w:color w:val="auto"/>
          <w:sz w:val="32"/>
          <w:szCs w:val="32"/>
          <w:highlight w:val="none"/>
          <w:u w:val="none" w:color="auto"/>
        </w:rPr>
        <w:t>中药国际注册和市场开拓</w:t>
      </w:r>
      <w:r>
        <w:rPr>
          <w:rFonts w:hint="eastAsia" w:ascii="仿宋_GB2312" w:hAnsi="仿宋_GB2312" w:eastAsia="仿宋_GB2312" w:cs="仿宋_GB2312"/>
          <w:b w:val="0"/>
          <w:bCs w:val="0"/>
          <w:color w:val="auto"/>
          <w:sz w:val="32"/>
          <w:szCs w:val="32"/>
          <w:highlight w:val="none"/>
          <w:u w:val="none" w:color="auto"/>
          <w:lang w:val="en-US" w:eastAsia="zh-CN"/>
        </w:rPr>
        <w:t>。鼓励企业积极参加“福品销全球”等国际性活动及展会，</w:t>
      </w:r>
      <w:r>
        <w:rPr>
          <w:rFonts w:hint="eastAsia" w:ascii="仿宋_GB2312" w:hAnsi="仿宋_GB2312" w:eastAsia="仿宋_GB2312" w:cs="仿宋_GB2312"/>
          <w:b w:val="0"/>
          <w:bCs w:val="0"/>
          <w:color w:val="auto"/>
          <w:kern w:val="0"/>
          <w:sz w:val="32"/>
          <w:szCs w:val="32"/>
          <w:highlight w:val="none"/>
          <w:u w:val="none" w:color="auto"/>
          <w:lang w:val="en-US" w:eastAsia="zh-CN" w:bidi="ar"/>
        </w:rPr>
        <w:t>提升品牌国际知名度。</w:t>
      </w:r>
      <w:r>
        <w:rPr>
          <w:rFonts w:hint="eastAsia" w:ascii="仿宋_GB2312" w:hAnsi="仿宋_GB2312" w:eastAsia="仿宋_GB2312" w:cs="仿宋_GB2312"/>
          <w:b w:val="0"/>
          <w:bCs w:val="0"/>
          <w:snapToGrid/>
          <w:color w:val="auto"/>
          <w:spacing w:val="0"/>
          <w:kern w:val="2"/>
          <w:sz w:val="32"/>
          <w:szCs w:val="32"/>
          <w:highlight w:val="none"/>
          <w:u w:val="none" w:color="auto"/>
          <w:lang w:val="en" w:eastAsia="zh-CN"/>
        </w:rPr>
        <w:t>积极融入粤港澳大湾区战略</w:t>
      </w:r>
      <w:r>
        <w:rPr>
          <w:rFonts w:hint="eastAsia" w:ascii="仿宋_GB2312" w:hAnsi="仿宋_GB2312" w:eastAsia="仿宋_GB2312" w:cs="仿宋_GB2312"/>
          <w:color w:val="auto"/>
          <w:sz w:val="32"/>
          <w:szCs w:val="32"/>
          <w:highlight w:val="none"/>
          <w:u w:val="none" w:color="auto"/>
          <w:lang w:eastAsia="zh-CN"/>
        </w:rPr>
        <w:t>，</w:t>
      </w:r>
      <w:r>
        <w:rPr>
          <w:rFonts w:hint="eastAsia" w:ascii="仿宋_GB2312" w:hAnsi="仿宋_GB2312" w:eastAsia="仿宋_GB2312" w:cs="仿宋_GB2312"/>
          <w:snapToGrid/>
          <w:color w:val="auto"/>
          <w:kern w:val="2"/>
          <w:sz w:val="32"/>
          <w:szCs w:val="32"/>
          <w:u w:val="none" w:color="auto"/>
          <w:lang w:val="en-US" w:eastAsia="zh-CN" w:bidi="ar-SA"/>
        </w:rPr>
        <w:t>加强闽港澳</w:t>
      </w:r>
      <w:r>
        <w:rPr>
          <w:rFonts w:hint="eastAsia" w:ascii="仿宋_GB2312" w:hAnsi="仿宋_GB2312" w:eastAsia="仿宋_GB2312" w:cs="仿宋_GB2312"/>
          <w:color w:val="auto"/>
          <w:sz w:val="32"/>
          <w:szCs w:val="32"/>
          <w:highlight w:val="none"/>
          <w:u w:val="none" w:color="auto"/>
          <w:lang w:eastAsia="zh-CN"/>
        </w:rPr>
        <w:t>中医药科研、</w:t>
      </w:r>
      <w:r>
        <w:rPr>
          <w:rFonts w:hint="eastAsia" w:ascii="仿宋_GB2312" w:hAnsi="仿宋_GB2312" w:eastAsia="仿宋_GB2312" w:cs="仿宋_GB2312"/>
          <w:snapToGrid/>
          <w:color w:val="auto"/>
          <w:kern w:val="2"/>
          <w:sz w:val="32"/>
          <w:szCs w:val="32"/>
          <w:u w:val="none" w:color="auto"/>
          <w:lang w:val="en-US" w:eastAsia="zh-CN" w:bidi="ar-SA"/>
        </w:rPr>
        <w:t>中药检测合作，支持闽澳联合在葡语系国家开展药品经销和产品注册</w:t>
      </w:r>
      <w:r>
        <w:rPr>
          <w:rFonts w:hint="eastAsia" w:ascii="仿宋_GB2312" w:hAnsi="仿宋_GB2312" w:eastAsia="仿宋_GB2312" w:cs="仿宋_GB2312"/>
          <w:color w:val="auto"/>
          <w:sz w:val="32"/>
          <w:szCs w:val="32"/>
          <w:highlight w:val="none"/>
          <w:u w:val="none" w:color="auto"/>
          <w:lang w:val="en-US" w:eastAsia="zh-CN"/>
        </w:rPr>
        <w:t>。</w:t>
      </w:r>
      <w:r>
        <w:rPr>
          <w:rFonts w:hint="eastAsia" w:ascii="仿宋_GB2312" w:hAnsi="仿宋_GB2312" w:eastAsia="仿宋_GB2312" w:cs="仿宋_GB2312"/>
          <w:snapToGrid/>
          <w:color w:val="auto"/>
          <w:kern w:val="2"/>
          <w:sz w:val="32"/>
          <w:szCs w:val="32"/>
          <w:u w:val="none" w:color="auto"/>
          <w:lang w:val="en-US" w:eastAsia="zh-CN" w:bidi="ar-SA"/>
        </w:rPr>
        <w:t>推动建立闽台中药材质量标准互认和质量追溯体系，</w:t>
      </w:r>
      <w:r>
        <w:rPr>
          <w:rFonts w:hint="eastAsia" w:ascii="仿宋_GB2312" w:hAnsi="仿宋_GB2312" w:eastAsia="仿宋_GB2312" w:cs="仿宋_GB2312"/>
          <w:color w:val="auto"/>
          <w:sz w:val="32"/>
          <w:szCs w:val="32"/>
          <w:u w:val="none" w:color="auto"/>
          <w:lang w:val="en-US" w:eastAsia="zh-CN"/>
        </w:rPr>
        <w:t>做大做实两岸中药材贸易</w:t>
      </w:r>
      <w:r>
        <w:rPr>
          <w:rFonts w:hint="eastAsia" w:ascii="仿宋_GB2312" w:hAnsi="仿宋_GB2312" w:eastAsia="仿宋_GB2312" w:cs="仿宋_GB2312"/>
          <w:snapToGrid/>
          <w:color w:val="auto"/>
          <w:kern w:val="2"/>
          <w:sz w:val="32"/>
          <w:szCs w:val="32"/>
          <w:u w:val="none" w:color="auto"/>
          <w:lang w:val="en-US" w:eastAsia="zh-CN" w:bidi="ar-SA"/>
        </w:rPr>
        <w:t>。</w:t>
      </w:r>
      <w:r>
        <w:rPr>
          <w:rFonts w:hint="eastAsia" w:ascii="仿宋_GB2312" w:hAnsi="仿宋_GB2312" w:eastAsia="仿宋_GB2312" w:cs="仿宋_GB2312"/>
          <w:b/>
          <w:bCs/>
          <w:color w:val="auto"/>
          <w:kern w:val="2"/>
          <w:sz w:val="32"/>
          <w:szCs w:val="32"/>
          <w:u w:val="none" w:color="auto"/>
          <w:lang w:val="en-US" w:eastAsia="zh-CN" w:bidi="ar-SA"/>
        </w:rPr>
        <w:t>（</w:t>
      </w:r>
      <w:r>
        <w:rPr>
          <w:rFonts w:hint="eastAsia" w:ascii="仿宋_GB2312" w:hAnsi="仿宋_GB2312" w:eastAsia="仿宋_GB2312" w:cs="仿宋_GB2312"/>
          <w:b/>
          <w:bCs/>
          <w:color w:val="auto"/>
          <w:sz w:val="32"/>
          <w:szCs w:val="32"/>
          <w:u w:val="none" w:color="auto"/>
          <w:lang w:val="en-US" w:eastAsia="zh-CN"/>
        </w:rPr>
        <w:t>省</w:t>
      </w:r>
      <w:r>
        <w:rPr>
          <w:rFonts w:hint="default" w:ascii="仿宋_GB2312" w:hAnsi="仿宋_GB2312" w:eastAsia="仿宋_GB2312" w:cs="仿宋_GB2312"/>
          <w:b/>
          <w:bCs/>
          <w:color w:val="auto"/>
          <w:sz w:val="32"/>
          <w:szCs w:val="32"/>
          <w:u w:val="none" w:color="auto"/>
          <w:lang w:val="en-US" w:eastAsia="zh-CN"/>
        </w:rPr>
        <w:t>卫健委、</w:t>
      </w:r>
      <w:r>
        <w:rPr>
          <w:rFonts w:hint="eastAsia" w:ascii="仿宋_GB2312" w:hAnsi="仿宋_GB2312" w:eastAsia="仿宋_GB2312" w:cs="仿宋_GB2312"/>
          <w:b/>
          <w:bCs/>
          <w:color w:val="auto"/>
          <w:sz w:val="32"/>
          <w:szCs w:val="32"/>
          <w:u w:val="none" w:color="auto"/>
        </w:rPr>
        <w:t>商务厅、</w:t>
      </w:r>
      <w:r>
        <w:rPr>
          <w:rFonts w:hint="eastAsia" w:ascii="仿宋_GB2312" w:hAnsi="仿宋_GB2312" w:eastAsia="仿宋_GB2312" w:cs="仿宋_GB2312"/>
          <w:b/>
          <w:bCs/>
          <w:color w:val="auto"/>
          <w:sz w:val="32"/>
          <w:szCs w:val="32"/>
          <w:u w:val="none" w:color="auto"/>
          <w:lang w:val="en-US" w:eastAsia="zh-CN"/>
        </w:rPr>
        <w:t>科技厅、</w:t>
      </w:r>
      <w:r>
        <w:rPr>
          <w:rFonts w:hint="eastAsia" w:ascii="仿宋_GB2312" w:hAnsi="仿宋_GB2312" w:eastAsia="仿宋_GB2312" w:cs="仿宋_GB2312"/>
          <w:b/>
          <w:bCs/>
          <w:color w:val="auto"/>
          <w:sz w:val="32"/>
          <w:szCs w:val="32"/>
          <w:u w:val="none" w:color="auto"/>
        </w:rPr>
        <w:t>工信厅、农业农村厅、</w:t>
      </w:r>
      <w:r>
        <w:rPr>
          <w:rFonts w:hint="eastAsia" w:ascii="仿宋_GB2312" w:hAnsi="仿宋_GB2312" w:eastAsia="仿宋_GB2312" w:cs="仿宋_GB2312"/>
          <w:b/>
          <w:bCs/>
          <w:color w:val="auto"/>
          <w:sz w:val="32"/>
          <w:szCs w:val="32"/>
          <w:u w:val="none" w:color="auto"/>
          <w:lang w:eastAsia="zh-CN"/>
        </w:rPr>
        <w:t>林业局、市场监管局、</w:t>
      </w:r>
      <w:r>
        <w:rPr>
          <w:rFonts w:hint="default" w:ascii="仿宋_GB2312" w:hAnsi="仿宋_GB2312" w:eastAsia="仿宋_GB2312" w:cs="仿宋_GB2312"/>
          <w:b/>
          <w:bCs/>
          <w:color w:val="auto"/>
          <w:sz w:val="32"/>
          <w:szCs w:val="32"/>
          <w:u w:val="none" w:color="auto"/>
          <w:lang w:val="en-US" w:eastAsia="zh-CN"/>
        </w:rPr>
        <w:t>药监局</w:t>
      </w:r>
      <w:r>
        <w:rPr>
          <w:rFonts w:hint="eastAsia" w:ascii="仿宋_GB2312" w:hAnsi="仿宋_GB2312" w:eastAsia="仿宋_GB2312" w:cs="仿宋_GB2312"/>
          <w:b/>
          <w:bCs/>
          <w:color w:val="auto"/>
          <w:kern w:val="2"/>
          <w:sz w:val="32"/>
          <w:szCs w:val="32"/>
          <w:u w:val="none" w:color="auto"/>
          <w:lang w:val="en-US" w:eastAsia="zh-CN" w:bidi="ar-SA"/>
        </w:rPr>
        <w:t>按职责分工负责）</w:t>
      </w:r>
    </w:p>
    <w:p>
      <w:pPr>
        <w:keepNext w:val="0"/>
        <w:keepLines w:val="0"/>
        <w:pageBreakBefore w:val="0"/>
        <w:widowControl w:val="0"/>
        <w:kinsoku/>
        <w:wordWrap/>
        <w:overflowPunct/>
        <w:topLinePunct w:val="0"/>
        <w:autoSpaceDE/>
        <w:autoSpaceDN/>
        <w:bidi w:val="0"/>
        <w:adjustRightInd/>
        <w:snapToGrid/>
        <w:spacing w:afterLines="0" w:line="600" w:lineRule="exact"/>
        <w:ind w:firstLine="640" w:firstLineChars="200"/>
        <w:textAlignment w:val="auto"/>
        <w:rPr>
          <w:rFonts w:hint="eastAsia" w:ascii="黑体" w:hAnsi="黑体" w:eastAsia="黑体" w:cs="黑体"/>
          <w:b w:val="0"/>
          <w:bCs w:val="0"/>
          <w:color w:val="auto"/>
          <w:sz w:val="32"/>
          <w:szCs w:val="32"/>
          <w:u w:val="none" w:color="auto"/>
          <w:lang w:eastAsia="zh-CN"/>
        </w:rPr>
      </w:pPr>
      <w:r>
        <w:rPr>
          <w:rFonts w:hint="eastAsia" w:ascii="黑体" w:hAnsi="黑体" w:eastAsia="黑体" w:cs="黑体"/>
          <w:b w:val="0"/>
          <w:bCs w:val="0"/>
          <w:color w:val="auto"/>
          <w:sz w:val="32"/>
          <w:szCs w:val="32"/>
          <w:u w:val="none" w:color="auto"/>
          <w:lang w:eastAsia="zh-CN"/>
        </w:rPr>
        <w:t>四、加强中药价值评估和配备使用</w:t>
      </w:r>
    </w:p>
    <w:p>
      <w:pPr>
        <w:pStyle w:val="6"/>
        <w:keepNext w:val="0"/>
        <w:keepLines w:val="0"/>
        <w:pageBreakBefore w:val="0"/>
        <w:kinsoku/>
        <w:wordWrap/>
        <w:overflowPunct/>
        <w:topLinePunct w:val="0"/>
        <w:autoSpaceDE/>
        <w:autoSpaceDN/>
        <w:bidi w:val="0"/>
        <w:adjustRightInd/>
        <w:snapToGrid/>
        <w:spacing w:after="0" w:afterLines="0" w:line="600" w:lineRule="exact"/>
        <w:ind w:left="0" w:leftChars="0" w:firstLine="640"/>
        <w:textAlignment w:val="auto"/>
        <w:rPr>
          <w:rFonts w:hint="eastAsia" w:ascii="仿宋_GB2312" w:hAnsi="仿宋_GB2312" w:eastAsia="仿宋_GB2312" w:cs="仿宋_GB2312"/>
          <w:b/>
          <w:bCs/>
          <w:color w:val="auto"/>
          <w:sz w:val="32"/>
          <w:szCs w:val="32"/>
          <w:highlight w:val="none"/>
          <w:u w:val="none" w:color="auto"/>
          <w:lang w:eastAsia="zh-CN"/>
        </w:rPr>
      </w:pPr>
      <w:r>
        <w:rPr>
          <w:rFonts w:hint="eastAsia" w:ascii="楷体_GB2312" w:hAnsi="楷体_GB2312" w:eastAsia="楷体_GB2312" w:cs="楷体_GB2312"/>
          <w:color w:val="auto"/>
          <w:sz w:val="32"/>
          <w:szCs w:val="32"/>
          <w:highlight w:val="none"/>
          <w:u w:val="none" w:color="auto"/>
          <w:lang w:eastAsia="zh-CN"/>
        </w:rPr>
        <w:t>（十二）强化临床价值评估。</w:t>
      </w:r>
      <w:r>
        <w:rPr>
          <w:rFonts w:hint="eastAsia" w:ascii="仿宋_GB2312" w:hAnsi="仿宋_GB2312" w:eastAsia="仿宋_GB2312" w:cs="仿宋_GB2312"/>
          <w:color w:val="auto"/>
          <w:sz w:val="32"/>
          <w:szCs w:val="32"/>
          <w:highlight w:val="none"/>
          <w:u w:val="none" w:color="auto"/>
          <w:lang w:eastAsia="zh-CN"/>
        </w:rPr>
        <w:t>鼓励医疗机构、中药企业采用循证医学等手段，在遵循中医药规律基础上，挖掘整理现有中医药产品使用经验证据，推进人用经验向临床证据转化。加强中药品种上市后再评价服务能力建设，鼓励有条件企业开展中药大品种临床综合评价，提升临床价值证据等级。</w:t>
      </w:r>
      <w:r>
        <w:rPr>
          <w:rFonts w:hint="eastAsia" w:ascii="仿宋_GB2312" w:hAnsi="仿宋_GB2312" w:eastAsia="仿宋_GB2312" w:cs="仿宋_GB2312"/>
          <w:b/>
          <w:bCs/>
          <w:color w:val="auto"/>
          <w:sz w:val="32"/>
          <w:szCs w:val="32"/>
          <w:highlight w:val="none"/>
          <w:u w:val="none" w:color="auto"/>
          <w:lang w:eastAsia="zh-CN"/>
        </w:rPr>
        <w:t>（</w:t>
      </w:r>
      <w:r>
        <w:rPr>
          <w:rFonts w:hint="eastAsia" w:ascii="仿宋_GB2312" w:hAnsi="仿宋_GB2312" w:eastAsia="仿宋_GB2312" w:cs="仿宋_GB2312"/>
          <w:b/>
          <w:bCs/>
          <w:color w:val="auto"/>
          <w:kern w:val="2"/>
          <w:sz w:val="32"/>
          <w:szCs w:val="32"/>
          <w:u w:val="none" w:color="auto"/>
          <w:lang w:val="en-US" w:eastAsia="zh-CN" w:bidi="ar-SA"/>
        </w:rPr>
        <w:t>省卫健委、药监局按职责分工负责）</w:t>
      </w:r>
    </w:p>
    <w:p>
      <w:pPr>
        <w:pStyle w:val="4"/>
        <w:keepNext w:val="0"/>
        <w:keepLines w:val="0"/>
        <w:pageBreakBefore w:val="0"/>
        <w:kinsoku/>
        <w:wordWrap/>
        <w:overflowPunct/>
        <w:topLinePunct w:val="0"/>
        <w:autoSpaceDE/>
        <w:autoSpaceDN/>
        <w:bidi w:val="0"/>
        <w:adjustRightInd/>
        <w:snapToGrid/>
        <w:spacing w:afterLines="0" w:line="600" w:lineRule="exact"/>
        <w:ind w:left="0" w:firstLine="640" w:firstLineChars="200"/>
        <w:textAlignment w:val="auto"/>
        <w:rPr>
          <w:rFonts w:hint="eastAsia" w:ascii="仿宋_GB2312" w:hAnsi="仿宋_GB2312" w:eastAsia="仿宋_GB2312" w:cs="仿宋_GB2312"/>
          <w:b/>
          <w:bCs/>
          <w:color w:val="auto"/>
          <w:kern w:val="2"/>
          <w:sz w:val="32"/>
          <w:szCs w:val="32"/>
          <w:u w:val="none" w:color="auto"/>
          <w:lang w:val="en-US" w:eastAsia="zh-CN" w:bidi="ar-SA"/>
        </w:rPr>
      </w:pPr>
      <w:r>
        <w:rPr>
          <w:rFonts w:hint="eastAsia" w:ascii="楷体_GB2312" w:hAnsi="楷体_GB2312" w:eastAsia="楷体_GB2312" w:cs="楷体_GB2312"/>
          <w:color w:val="auto"/>
          <w:sz w:val="32"/>
          <w:szCs w:val="32"/>
          <w:highlight w:val="none"/>
          <w:u w:val="none" w:color="auto"/>
          <w:lang w:eastAsia="zh-CN"/>
        </w:rPr>
        <w:t>（十三）加强中药配备使用。</w:t>
      </w:r>
      <w:r>
        <w:rPr>
          <w:rFonts w:hint="eastAsia" w:ascii="仿宋_GB2312" w:hAnsi="仿宋_GB2312" w:eastAsia="仿宋_GB2312" w:cs="仿宋_GB2312"/>
          <w:color w:val="auto"/>
          <w:sz w:val="32"/>
          <w:szCs w:val="32"/>
          <w:highlight w:val="none"/>
          <w:u w:val="none" w:color="auto"/>
          <w:lang w:eastAsia="zh-CN"/>
        </w:rPr>
        <w:t>支持医疗机构按规定使用中药创新药和经典中药产品</w:t>
      </w:r>
      <w:r>
        <w:rPr>
          <w:rFonts w:hint="eastAsia" w:ascii="仿宋_GB2312" w:hAnsi="仿宋_GB2312" w:eastAsia="仿宋_GB2312" w:cs="仿宋_GB2312"/>
          <w:color w:val="auto"/>
          <w:sz w:val="32"/>
          <w:szCs w:val="32"/>
          <w:highlight w:val="none"/>
          <w:u w:val="none" w:color="auto"/>
          <w:lang w:val="en-US" w:eastAsia="zh-CN"/>
        </w:rPr>
        <w:t>，</w:t>
      </w:r>
      <w:r>
        <w:rPr>
          <w:rFonts w:hint="eastAsia" w:ascii="仿宋_GB2312" w:hAnsi="仿宋_GB2312" w:eastAsia="仿宋_GB2312" w:cs="仿宋_GB2312"/>
          <w:color w:val="auto"/>
          <w:sz w:val="32"/>
          <w:szCs w:val="32"/>
          <w:highlight w:val="none"/>
          <w:u w:val="none" w:color="auto"/>
          <w:lang w:eastAsia="zh-CN"/>
        </w:rPr>
        <w:t>推动医疗机构按照“按需配备、应配尽配”的原则，及时将中药创新药纳入本机构用药目录,不以用药目录数量、药/耗占比等原因限制入院。鼓励建设共享中药房和基层中药饮片供应中心，推广“互联网+中药配送服务”。</w:t>
      </w:r>
      <w:r>
        <w:rPr>
          <w:rFonts w:hint="eastAsia" w:ascii="仿宋_GB2312" w:hAnsi="仿宋_GB2312" w:eastAsia="仿宋_GB2312" w:cs="仿宋_GB2312"/>
          <w:b w:val="0"/>
          <w:bCs w:val="0"/>
          <w:color w:val="auto"/>
          <w:kern w:val="2"/>
          <w:sz w:val="32"/>
          <w:szCs w:val="32"/>
          <w:highlight w:val="none"/>
          <w:u w:val="none" w:color="auto"/>
          <w:lang w:val="en-US" w:eastAsia="zh-CN" w:bidi="ar-SA"/>
        </w:rPr>
        <w:t>制定医疗机构委托中药饮片生产经营企业代煎、配送的服务管理规范。</w:t>
      </w:r>
      <w:r>
        <w:rPr>
          <w:rFonts w:hint="eastAsia" w:ascii="仿宋_GB2312" w:hAnsi="仿宋_GB2312" w:eastAsia="仿宋_GB2312" w:cs="仿宋_GB2312"/>
          <w:b/>
          <w:bCs/>
          <w:color w:val="auto"/>
          <w:kern w:val="2"/>
          <w:sz w:val="32"/>
          <w:szCs w:val="32"/>
          <w:u w:val="none" w:color="auto"/>
          <w:lang w:val="en-US" w:eastAsia="zh-CN" w:bidi="ar-SA"/>
        </w:rPr>
        <w:t>（省卫健委、医保局、药监局、工信厅按职责分负责）</w:t>
      </w:r>
    </w:p>
    <w:p>
      <w:pPr>
        <w:keepNext w:val="0"/>
        <w:keepLines w:val="0"/>
        <w:pageBreakBefore w:val="0"/>
        <w:widowControl w:val="0"/>
        <w:kinsoku/>
        <w:wordWrap/>
        <w:overflowPunct/>
        <w:topLinePunct w:val="0"/>
        <w:autoSpaceDE/>
        <w:autoSpaceDN/>
        <w:bidi w:val="0"/>
        <w:adjustRightInd/>
        <w:snapToGrid/>
        <w:spacing w:afterLines="0" w:line="600" w:lineRule="exact"/>
        <w:ind w:firstLine="640" w:firstLineChars="200"/>
        <w:textAlignment w:val="auto"/>
        <w:rPr>
          <w:rFonts w:hint="eastAsia" w:ascii="黑体" w:hAnsi="黑体" w:eastAsia="黑体" w:cs="黑体"/>
          <w:b w:val="0"/>
          <w:bCs w:val="0"/>
          <w:color w:val="auto"/>
          <w:sz w:val="32"/>
          <w:szCs w:val="32"/>
          <w:u w:val="none" w:color="auto"/>
          <w:lang w:val="en-US" w:eastAsia="zh-CN"/>
        </w:rPr>
      </w:pPr>
      <w:r>
        <w:rPr>
          <w:rFonts w:hint="eastAsia" w:ascii="黑体" w:hAnsi="黑体" w:eastAsia="黑体" w:cs="黑体"/>
          <w:b w:val="0"/>
          <w:bCs w:val="0"/>
          <w:color w:val="auto"/>
          <w:sz w:val="32"/>
          <w:szCs w:val="32"/>
          <w:u w:val="none" w:color="auto"/>
          <w:lang w:eastAsia="zh-CN"/>
        </w:rPr>
        <w:t>五、强化</w:t>
      </w:r>
      <w:r>
        <w:rPr>
          <w:rFonts w:hint="eastAsia" w:ascii="黑体" w:hAnsi="黑体" w:eastAsia="黑体" w:cs="黑体"/>
          <w:b w:val="0"/>
          <w:bCs w:val="0"/>
          <w:color w:val="auto"/>
          <w:sz w:val="32"/>
          <w:szCs w:val="32"/>
          <w:u w:val="none" w:color="auto"/>
          <w:lang w:val="en-US" w:eastAsia="zh-CN"/>
        </w:rPr>
        <w:t>中药质量与产业监管</w:t>
      </w:r>
    </w:p>
    <w:p>
      <w:pPr>
        <w:keepNext w:val="0"/>
        <w:keepLines w:val="0"/>
        <w:pageBreakBefore w:val="0"/>
        <w:widowControl w:val="0"/>
        <w:kinsoku/>
        <w:wordWrap/>
        <w:overflowPunct/>
        <w:topLinePunct w:val="0"/>
        <w:autoSpaceDE/>
        <w:autoSpaceDN/>
        <w:bidi w:val="0"/>
        <w:adjustRightInd/>
        <w:snapToGrid/>
        <w:spacing w:afterLines="0" w:line="600" w:lineRule="exact"/>
        <w:ind w:firstLine="640" w:firstLineChars="200"/>
        <w:textAlignment w:val="auto"/>
        <w:rPr>
          <w:rFonts w:hint="eastAsia" w:ascii="仿宋_GB2312" w:hAnsi="仿宋_GB2312" w:eastAsia="仿宋_GB2312" w:cs="仿宋_GB2312"/>
          <w:b/>
          <w:bCs/>
          <w:color w:val="auto"/>
          <w:sz w:val="32"/>
          <w:szCs w:val="32"/>
          <w:highlight w:val="none"/>
          <w:u w:val="none" w:color="auto"/>
          <w:lang w:eastAsia="zh-CN"/>
        </w:rPr>
      </w:pPr>
      <w:r>
        <w:rPr>
          <w:rFonts w:hint="eastAsia" w:ascii="楷体_GB2312" w:hAnsi="楷体_GB2312" w:eastAsia="楷体_GB2312" w:cs="楷体_GB2312"/>
          <w:color w:val="auto"/>
          <w:sz w:val="32"/>
          <w:szCs w:val="32"/>
          <w:highlight w:val="none"/>
          <w:u w:val="none" w:color="auto"/>
          <w:lang w:val="en-US" w:eastAsia="zh-CN"/>
        </w:rPr>
        <w:t>（十四）推动中药标准制定与实施。</w:t>
      </w:r>
      <w:r>
        <w:rPr>
          <w:rFonts w:hint="eastAsia" w:ascii="仿宋_GB2312" w:hAnsi="仿宋_GB2312" w:eastAsia="仿宋_GB2312" w:cs="仿宋_GB2312"/>
          <w:color w:val="auto"/>
          <w:sz w:val="32"/>
          <w:szCs w:val="32"/>
          <w:highlight w:val="none"/>
          <w:u w:val="none" w:color="auto"/>
          <w:lang w:val="en-US" w:eastAsia="zh-CN"/>
        </w:rPr>
        <w:t>组织实施中药标准化行动，推动制定完善本省道地中药材、种子种苗、生态种植技术规范等标准。进一步</w:t>
      </w:r>
      <w:r>
        <w:rPr>
          <w:rFonts w:hint="eastAsia" w:ascii="仿宋_GB2312" w:hAnsi="仿宋_GB2312" w:eastAsia="仿宋_GB2312" w:cs="仿宋_GB2312"/>
          <w:color w:val="auto"/>
          <w:sz w:val="32"/>
          <w:szCs w:val="32"/>
          <w:highlight w:val="none"/>
          <w:u w:val="none" w:color="auto"/>
          <w:lang w:eastAsia="zh-CN"/>
        </w:rPr>
        <w:t>优化中药饮片炮制规范，推动</w:t>
      </w:r>
      <w:r>
        <w:rPr>
          <w:rFonts w:hint="eastAsia" w:ascii="仿宋_GB2312" w:hAnsi="仿宋_GB2312" w:eastAsia="仿宋_GB2312" w:cs="仿宋_GB2312"/>
          <w:color w:val="auto"/>
          <w:sz w:val="32"/>
          <w:szCs w:val="32"/>
          <w:highlight w:val="none"/>
          <w:u w:val="none" w:color="auto"/>
        </w:rPr>
        <w:t>企业加快现有中成药标准</w:t>
      </w:r>
      <w:r>
        <w:rPr>
          <w:rFonts w:hint="eastAsia" w:ascii="仿宋_GB2312" w:hAnsi="仿宋_GB2312" w:eastAsia="仿宋_GB2312" w:cs="仿宋_GB2312"/>
          <w:color w:val="auto"/>
          <w:sz w:val="32"/>
          <w:szCs w:val="32"/>
          <w:highlight w:val="none"/>
          <w:u w:val="none" w:color="auto"/>
          <w:lang w:eastAsia="zh-CN"/>
        </w:rPr>
        <w:t>提升工作。</w:t>
      </w:r>
      <w:r>
        <w:rPr>
          <w:rFonts w:hint="eastAsia" w:ascii="仿宋_GB2312" w:hAnsi="仿宋_GB2312" w:eastAsia="仿宋_GB2312" w:cs="仿宋_GB2312"/>
          <w:color w:val="auto"/>
          <w:sz w:val="32"/>
          <w:szCs w:val="32"/>
          <w:highlight w:val="none"/>
          <w:u w:val="none" w:color="auto"/>
          <w:lang w:val="en-US" w:eastAsia="zh-CN"/>
        </w:rPr>
        <w:t>鼓励单位、企业、行业协会以及专家</w:t>
      </w:r>
      <w:r>
        <w:rPr>
          <w:rFonts w:hint="eastAsia" w:ascii="仿宋_GB2312" w:hAnsi="仿宋_GB2312" w:eastAsia="仿宋_GB2312" w:cs="仿宋_GB2312"/>
          <w:color w:val="auto"/>
          <w:sz w:val="32"/>
          <w:szCs w:val="32"/>
          <w:highlight w:val="none"/>
          <w:u w:val="none" w:color="auto"/>
          <w:lang w:eastAsia="zh-CN"/>
        </w:rPr>
        <w:t>积极参与中医药国家、国际标准制定。</w:t>
      </w:r>
      <w:r>
        <w:rPr>
          <w:rFonts w:hint="eastAsia" w:ascii="仿宋_GB2312" w:hAnsi="仿宋_GB2312" w:eastAsia="仿宋_GB2312" w:cs="仿宋_GB2312"/>
          <w:b/>
          <w:bCs/>
          <w:color w:val="auto"/>
          <w:sz w:val="32"/>
          <w:szCs w:val="32"/>
          <w:highlight w:val="none"/>
          <w:u w:val="none" w:color="auto"/>
          <w:lang w:eastAsia="zh-CN"/>
        </w:rPr>
        <w:t>（</w:t>
      </w:r>
      <w:r>
        <w:rPr>
          <w:rFonts w:hint="eastAsia" w:ascii="仿宋_GB2312" w:hAnsi="仿宋_GB2312" w:eastAsia="仿宋_GB2312" w:cs="仿宋_GB2312"/>
          <w:b/>
          <w:bCs/>
          <w:color w:val="auto"/>
          <w:sz w:val="32"/>
          <w:szCs w:val="32"/>
          <w:highlight w:val="none"/>
          <w:u w:val="none" w:color="auto"/>
        </w:rPr>
        <w:t>省药监局</w:t>
      </w:r>
      <w:r>
        <w:rPr>
          <w:rFonts w:hint="eastAsia" w:ascii="仿宋_GB2312" w:hAnsi="仿宋_GB2312" w:eastAsia="仿宋_GB2312" w:cs="仿宋_GB2312"/>
          <w:b/>
          <w:bCs/>
          <w:color w:val="auto"/>
          <w:sz w:val="32"/>
          <w:szCs w:val="32"/>
          <w:highlight w:val="none"/>
          <w:u w:val="none" w:color="auto"/>
          <w:lang w:eastAsia="zh-CN"/>
        </w:rPr>
        <w:t>、</w:t>
      </w:r>
      <w:r>
        <w:rPr>
          <w:rFonts w:hint="eastAsia" w:ascii="仿宋_GB2312" w:hAnsi="仿宋_GB2312" w:eastAsia="仿宋_GB2312" w:cs="仿宋_GB2312"/>
          <w:b/>
          <w:bCs/>
          <w:color w:val="auto"/>
          <w:sz w:val="32"/>
          <w:szCs w:val="32"/>
          <w:highlight w:val="none"/>
          <w:u w:val="none" w:color="auto"/>
        </w:rPr>
        <w:t>市场监管局、农业农村厅、林</w:t>
      </w:r>
      <w:r>
        <w:rPr>
          <w:rFonts w:hint="eastAsia" w:ascii="仿宋_GB2312" w:hAnsi="仿宋_GB2312" w:eastAsia="仿宋_GB2312" w:cs="仿宋_GB2312"/>
          <w:b/>
          <w:bCs/>
          <w:color w:val="auto"/>
          <w:sz w:val="32"/>
          <w:szCs w:val="32"/>
          <w:highlight w:val="none"/>
          <w:u w:val="none" w:color="auto"/>
          <w:lang w:eastAsia="zh-CN"/>
        </w:rPr>
        <w:t>业</w:t>
      </w:r>
      <w:r>
        <w:rPr>
          <w:rFonts w:hint="eastAsia" w:ascii="仿宋_GB2312" w:hAnsi="仿宋_GB2312" w:eastAsia="仿宋_GB2312" w:cs="仿宋_GB2312"/>
          <w:b/>
          <w:bCs/>
          <w:color w:val="auto"/>
          <w:sz w:val="32"/>
          <w:szCs w:val="32"/>
          <w:highlight w:val="none"/>
          <w:u w:val="none" w:color="auto"/>
        </w:rPr>
        <w:t>局、</w:t>
      </w:r>
      <w:r>
        <w:rPr>
          <w:rFonts w:hint="eastAsia" w:ascii="仿宋_GB2312" w:hAnsi="仿宋_GB2312" w:eastAsia="仿宋_GB2312" w:cs="仿宋_GB2312"/>
          <w:b/>
          <w:bCs/>
          <w:color w:val="auto"/>
          <w:sz w:val="32"/>
          <w:szCs w:val="32"/>
          <w:highlight w:val="none"/>
          <w:u w:val="none" w:color="auto"/>
          <w:lang w:eastAsia="zh-CN"/>
        </w:rPr>
        <w:t>卫健委</w:t>
      </w:r>
      <w:r>
        <w:rPr>
          <w:rFonts w:hint="eastAsia" w:ascii="仿宋_GB2312" w:hAnsi="仿宋_GB2312" w:eastAsia="仿宋_GB2312" w:cs="仿宋_GB2312"/>
          <w:b/>
          <w:bCs/>
          <w:color w:val="auto"/>
          <w:kern w:val="2"/>
          <w:sz w:val="32"/>
          <w:szCs w:val="32"/>
          <w:highlight w:val="none"/>
          <w:u w:val="none" w:color="auto"/>
          <w:lang w:val="en-US" w:eastAsia="zh-CN" w:bidi="ar-SA"/>
        </w:rPr>
        <w:t>按职责分工负责</w:t>
      </w:r>
      <w:r>
        <w:rPr>
          <w:rFonts w:hint="eastAsia" w:ascii="仿宋_GB2312" w:hAnsi="仿宋_GB2312" w:eastAsia="仿宋_GB2312" w:cs="仿宋_GB2312"/>
          <w:b/>
          <w:bCs/>
          <w:color w:val="auto"/>
          <w:sz w:val="32"/>
          <w:szCs w:val="32"/>
          <w:highlight w:val="none"/>
          <w:u w:val="none" w:color="auto"/>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afterLines="0" w:line="600" w:lineRule="exact"/>
        <w:ind w:firstLine="640" w:firstLineChars="200"/>
        <w:textAlignment w:val="auto"/>
        <w:rPr>
          <w:rFonts w:hint="default" w:ascii="仿宋_GB2312" w:hAnsi="仿宋_GB2312" w:eastAsia="仿宋_GB2312" w:cs="仿宋_GB2312"/>
          <w:color w:val="auto"/>
          <w:sz w:val="32"/>
          <w:szCs w:val="32"/>
          <w:u w:val="none" w:color="auto"/>
          <w:lang w:val="en-US" w:eastAsia="zh-CN"/>
        </w:rPr>
      </w:pPr>
      <w:r>
        <w:rPr>
          <w:rFonts w:hint="eastAsia" w:ascii="楷体_GB2312" w:hAnsi="楷体_GB2312" w:eastAsia="楷体_GB2312" w:cs="楷体_GB2312"/>
          <w:color w:val="auto"/>
          <w:sz w:val="32"/>
          <w:szCs w:val="32"/>
          <w:u w:val="none" w:color="auto"/>
          <w:lang w:val="en-US" w:eastAsia="zh-CN"/>
        </w:rPr>
        <w:t>（十五）加强监管与风险防控。</w:t>
      </w:r>
      <w:r>
        <w:rPr>
          <w:rFonts w:hint="eastAsia" w:ascii="仿宋_GB2312" w:hAnsi="仿宋_GB2312" w:eastAsia="仿宋_GB2312" w:cs="仿宋_GB2312"/>
          <w:color w:val="auto"/>
          <w:sz w:val="32"/>
          <w:szCs w:val="32"/>
          <w:u w:val="none" w:color="auto"/>
          <w:lang w:val="en-US" w:eastAsia="zh-CN"/>
        </w:rPr>
        <w:t>加强中药评审、检验检测、监督检查等中药监管能力建设，支持建设第三方检测机构开展中药委托检验业务</w:t>
      </w:r>
      <w:r>
        <w:rPr>
          <w:rFonts w:hint="eastAsia" w:ascii="仿宋_GB2312" w:hAnsi="仿宋_GB2312" w:eastAsia="仿宋_GB2312" w:cs="仿宋_GB2312"/>
          <w:color w:val="auto"/>
          <w:sz w:val="32"/>
          <w:szCs w:val="32"/>
          <w:u w:val="none" w:color="auto"/>
          <w:lang w:eastAsia="zh-CN"/>
        </w:rPr>
        <w:t>。</w:t>
      </w:r>
      <w:r>
        <w:rPr>
          <w:rFonts w:hint="eastAsia" w:ascii="仿宋_GB2312" w:hAnsi="仿宋_GB2312" w:eastAsia="仿宋_GB2312" w:cs="仿宋_GB2312"/>
          <w:color w:val="auto"/>
          <w:sz w:val="32"/>
          <w:szCs w:val="32"/>
          <w:u w:val="none" w:color="auto"/>
          <w:lang w:val="en-US" w:eastAsia="zh-CN"/>
        </w:rPr>
        <w:t>加大中药重点环节、重点品种监管力度，加大对中药违法违规行为打击力度。加强中药产品生产流通使用全生命周期监管，探索推动</w:t>
      </w:r>
      <w:r>
        <w:rPr>
          <w:rFonts w:hint="eastAsia" w:ascii="仿宋_GB2312" w:hAnsi="仿宋_GB2312" w:eastAsia="仿宋_GB2312" w:cs="仿宋_GB2312"/>
          <w:color w:val="auto"/>
          <w:sz w:val="32"/>
          <w:szCs w:val="32"/>
          <w:u w:val="none" w:color="auto"/>
        </w:rPr>
        <w:t>中药全流程质量追溯</w:t>
      </w:r>
      <w:r>
        <w:rPr>
          <w:rFonts w:hint="eastAsia" w:ascii="仿宋_GB2312" w:hAnsi="仿宋_GB2312" w:eastAsia="仿宋_GB2312" w:cs="仿宋_GB2312"/>
          <w:color w:val="auto"/>
          <w:sz w:val="32"/>
          <w:szCs w:val="32"/>
          <w:u w:val="none" w:color="auto"/>
          <w:lang w:eastAsia="zh-CN"/>
        </w:rPr>
        <w:t>体系建设，</w:t>
      </w:r>
      <w:r>
        <w:rPr>
          <w:rFonts w:hint="eastAsia" w:ascii="仿宋_GB2312" w:hAnsi="仿宋_GB2312" w:eastAsia="仿宋_GB2312" w:cs="仿宋_GB2312"/>
          <w:color w:val="auto"/>
          <w:sz w:val="32"/>
          <w:szCs w:val="32"/>
          <w:u w:val="none" w:color="auto"/>
          <w:lang w:val="en-US" w:eastAsia="zh-CN"/>
        </w:rPr>
        <w:t>逐步建设完善中药材种植、生产加工、流通使用等信息化追溯系统。</w:t>
      </w:r>
      <w:r>
        <w:rPr>
          <w:rFonts w:hint="eastAsia" w:ascii="仿宋_GB2312" w:hAnsi="仿宋_GB2312" w:eastAsia="仿宋_GB2312" w:cs="仿宋_GB2312"/>
          <w:b/>
          <w:bCs/>
          <w:color w:val="auto"/>
          <w:sz w:val="32"/>
          <w:szCs w:val="32"/>
          <w:u w:val="none" w:color="auto"/>
          <w:lang w:eastAsia="zh-CN"/>
        </w:rPr>
        <w:t>（</w:t>
      </w:r>
      <w:r>
        <w:rPr>
          <w:rFonts w:hint="eastAsia" w:ascii="仿宋_GB2312" w:hAnsi="仿宋_GB2312" w:eastAsia="仿宋_GB2312" w:cs="仿宋_GB2312"/>
          <w:b/>
          <w:bCs/>
          <w:color w:val="auto"/>
          <w:sz w:val="32"/>
          <w:szCs w:val="32"/>
          <w:u w:val="none" w:color="auto"/>
        </w:rPr>
        <w:t>省药监局、市场监管局、农业农村厅、</w:t>
      </w:r>
      <w:r>
        <w:rPr>
          <w:rFonts w:hint="eastAsia" w:ascii="仿宋_GB2312" w:hAnsi="仿宋_GB2312" w:eastAsia="仿宋_GB2312" w:cs="仿宋_GB2312"/>
          <w:b/>
          <w:bCs/>
          <w:color w:val="auto"/>
          <w:sz w:val="32"/>
          <w:szCs w:val="32"/>
          <w:highlight w:val="none"/>
          <w:u w:val="none" w:color="auto"/>
        </w:rPr>
        <w:t>林</w:t>
      </w:r>
      <w:r>
        <w:rPr>
          <w:rFonts w:hint="eastAsia" w:ascii="仿宋_GB2312" w:hAnsi="仿宋_GB2312" w:eastAsia="仿宋_GB2312" w:cs="仿宋_GB2312"/>
          <w:b/>
          <w:bCs/>
          <w:color w:val="auto"/>
          <w:sz w:val="32"/>
          <w:szCs w:val="32"/>
          <w:highlight w:val="none"/>
          <w:u w:val="none" w:color="auto"/>
          <w:lang w:eastAsia="zh-CN"/>
        </w:rPr>
        <w:t>业</w:t>
      </w:r>
      <w:r>
        <w:rPr>
          <w:rFonts w:hint="eastAsia" w:ascii="仿宋_GB2312" w:hAnsi="仿宋_GB2312" w:eastAsia="仿宋_GB2312" w:cs="仿宋_GB2312"/>
          <w:b/>
          <w:bCs/>
          <w:color w:val="auto"/>
          <w:sz w:val="32"/>
          <w:szCs w:val="32"/>
          <w:highlight w:val="none"/>
          <w:u w:val="none" w:color="auto"/>
        </w:rPr>
        <w:t>局</w:t>
      </w:r>
      <w:r>
        <w:rPr>
          <w:rFonts w:hint="eastAsia" w:ascii="仿宋_GB2312" w:hAnsi="仿宋_GB2312" w:eastAsia="仿宋_GB2312" w:cs="仿宋_GB2312"/>
          <w:b/>
          <w:bCs/>
          <w:color w:val="auto"/>
          <w:sz w:val="32"/>
          <w:szCs w:val="32"/>
          <w:highlight w:val="none"/>
          <w:u w:val="none" w:color="auto"/>
          <w:lang w:eastAsia="zh-CN"/>
        </w:rPr>
        <w:t>、</w:t>
      </w:r>
      <w:r>
        <w:rPr>
          <w:rFonts w:hint="eastAsia" w:ascii="仿宋_GB2312" w:hAnsi="仿宋_GB2312" w:eastAsia="仿宋_GB2312" w:cs="仿宋_GB2312"/>
          <w:b/>
          <w:bCs/>
          <w:color w:val="auto"/>
          <w:sz w:val="32"/>
          <w:szCs w:val="32"/>
          <w:u w:val="none" w:color="auto"/>
        </w:rPr>
        <w:t>卫健委</w:t>
      </w:r>
      <w:r>
        <w:rPr>
          <w:rFonts w:hint="eastAsia" w:ascii="仿宋_GB2312" w:hAnsi="仿宋_GB2312" w:eastAsia="仿宋_GB2312" w:cs="仿宋_GB2312"/>
          <w:b/>
          <w:bCs/>
          <w:color w:val="auto"/>
          <w:kern w:val="2"/>
          <w:sz w:val="32"/>
          <w:szCs w:val="32"/>
          <w:u w:val="none" w:color="auto"/>
          <w:lang w:val="en-US" w:eastAsia="zh-CN" w:bidi="ar-SA"/>
        </w:rPr>
        <w:t>按职责分工负责</w:t>
      </w:r>
      <w:r>
        <w:rPr>
          <w:rFonts w:hint="eastAsia" w:ascii="仿宋_GB2312" w:hAnsi="仿宋_GB2312" w:eastAsia="仿宋_GB2312" w:cs="仿宋_GB2312"/>
          <w:b/>
          <w:bCs/>
          <w:color w:val="auto"/>
          <w:sz w:val="32"/>
          <w:szCs w:val="32"/>
          <w:u w:val="none" w:color="auto"/>
          <w:lang w:eastAsia="zh-CN"/>
        </w:rPr>
        <w:t>）</w:t>
      </w:r>
    </w:p>
    <w:p>
      <w:pPr>
        <w:keepNext w:val="0"/>
        <w:keepLines w:val="0"/>
        <w:pageBreakBefore w:val="0"/>
        <w:kinsoku/>
        <w:wordWrap/>
        <w:overflowPunct/>
        <w:topLinePunct w:val="0"/>
        <w:autoSpaceDE/>
        <w:autoSpaceDN/>
        <w:bidi w:val="0"/>
        <w:adjustRightInd/>
        <w:snapToGrid/>
        <w:spacing w:afterLines="0" w:line="600" w:lineRule="exact"/>
        <w:ind w:left="0" w:firstLine="640" w:firstLineChars="200"/>
        <w:textAlignment w:val="auto"/>
        <w:rPr>
          <w:rFonts w:hint="default" w:ascii="仿宋_GB2312" w:hAnsi="仿宋_GB2312" w:eastAsia="仿宋_GB2312" w:cs="仿宋_GB2312"/>
          <w:b/>
          <w:bCs/>
          <w:color w:val="auto"/>
          <w:kern w:val="2"/>
          <w:sz w:val="32"/>
          <w:szCs w:val="32"/>
          <w:u w:val="none" w:color="auto"/>
          <w:lang w:val="en-US" w:eastAsia="zh-CN" w:bidi="ar-SA"/>
        </w:rPr>
      </w:pPr>
      <w:r>
        <w:rPr>
          <w:rFonts w:hint="eastAsia" w:ascii="楷体_GB2312" w:hAnsi="楷体_GB2312" w:eastAsia="楷体_GB2312" w:cs="楷体_GB2312"/>
          <w:color w:val="auto"/>
          <w:sz w:val="32"/>
          <w:szCs w:val="32"/>
          <w:u w:val="none" w:color="auto"/>
          <w:lang w:val="en-US" w:eastAsia="zh-CN"/>
        </w:rPr>
        <w:t>（十六）维护中药产业发展安全。</w:t>
      </w:r>
      <w:r>
        <w:rPr>
          <w:rFonts w:hint="eastAsia" w:ascii="仿宋_GB2312" w:hAnsi="仿宋_GB2312" w:eastAsia="仿宋_GB2312" w:cs="仿宋_GB2312"/>
          <w:color w:val="auto"/>
          <w:sz w:val="32"/>
          <w:szCs w:val="32"/>
          <w:u w:val="none" w:color="auto"/>
          <w:lang w:val="en-US" w:eastAsia="zh-CN"/>
        </w:rPr>
        <w:t>综合运用专利、商标、地理标志、科技秘密定密、中药品种保护等方式，强化中药产业发展安全。加强中药品种保护政策宣贯，支持中药独家品种申请品种保护。支持符合条件的中药材申请地理标志商标和地理标志产品，持续推进省市县三级知识产权快速协同保护体系建设。</w:t>
      </w:r>
      <w:r>
        <w:rPr>
          <w:rFonts w:hint="eastAsia" w:ascii="仿宋_GB2312" w:hAnsi="仿宋_GB2312" w:eastAsia="仿宋_GB2312" w:cs="仿宋_GB2312"/>
          <w:b/>
          <w:bCs/>
          <w:color w:val="auto"/>
          <w:sz w:val="32"/>
          <w:szCs w:val="32"/>
          <w:u w:val="none" w:color="auto"/>
          <w:lang w:val="en-US" w:eastAsia="zh-CN"/>
        </w:rPr>
        <w:t>（省市场监管局、卫健委、农业农村厅、</w:t>
      </w:r>
      <w:r>
        <w:rPr>
          <w:rFonts w:hint="eastAsia" w:ascii="仿宋_GB2312" w:hAnsi="仿宋_GB2312" w:eastAsia="仿宋_GB2312" w:cs="仿宋_GB2312"/>
          <w:b/>
          <w:bCs/>
          <w:color w:val="auto"/>
          <w:sz w:val="32"/>
          <w:szCs w:val="32"/>
          <w:u w:val="none" w:color="auto"/>
        </w:rPr>
        <w:t>海洋渔业局</w:t>
      </w:r>
      <w:r>
        <w:rPr>
          <w:rFonts w:hint="eastAsia" w:ascii="仿宋_GB2312" w:hAnsi="仿宋_GB2312" w:eastAsia="仿宋_GB2312" w:cs="仿宋_GB2312"/>
          <w:b/>
          <w:bCs/>
          <w:color w:val="auto"/>
          <w:sz w:val="32"/>
          <w:szCs w:val="32"/>
          <w:u w:val="none" w:color="auto"/>
          <w:lang w:eastAsia="zh-CN"/>
        </w:rPr>
        <w:t>、</w:t>
      </w:r>
      <w:r>
        <w:rPr>
          <w:rFonts w:hint="eastAsia" w:ascii="仿宋_GB2312" w:hAnsi="仿宋_GB2312" w:eastAsia="仿宋_GB2312" w:cs="仿宋_GB2312"/>
          <w:b/>
          <w:bCs/>
          <w:color w:val="auto"/>
          <w:sz w:val="32"/>
          <w:szCs w:val="32"/>
          <w:u w:val="none" w:color="auto"/>
          <w:lang w:val="en-US" w:eastAsia="zh-CN"/>
        </w:rPr>
        <w:t>林业局、药监局</w:t>
      </w:r>
      <w:r>
        <w:rPr>
          <w:rFonts w:hint="eastAsia" w:ascii="仿宋_GB2312" w:hAnsi="仿宋_GB2312" w:eastAsia="仿宋_GB2312" w:cs="仿宋_GB2312"/>
          <w:b/>
          <w:bCs/>
          <w:color w:val="auto"/>
          <w:kern w:val="2"/>
          <w:sz w:val="32"/>
          <w:szCs w:val="32"/>
          <w:u w:val="none" w:color="auto"/>
          <w:lang w:val="en-US" w:eastAsia="zh-CN" w:bidi="ar-SA"/>
        </w:rPr>
        <w:t>按职责分工负责</w:t>
      </w:r>
      <w:r>
        <w:rPr>
          <w:rFonts w:hint="eastAsia" w:ascii="仿宋_GB2312" w:hAnsi="仿宋_GB2312" w:eastAsia="仿宋_GB2312" w:cs="仿宋_GB2312"/>
          <w:b/>
          <w:bCs/>
          <w:color w:val="auto"/>
          <w:sz w:val="32"/>
          <w:szCs w:val="32"/>
          <w:u w:val="none" w:color="auto"/>
          <w:lang w:val="en-US" w:eastAsia="zh-CN"/>
        </w:rPr>
        <w:t>）</w:t>
      </w:r>
    </w:p>
    <w:p>
      <w:pPr>
        <w:keepNext w:val="0"/>
        <w:keepLines w:val="0"/>
        <w:pageBreakBefore w:val="0"/>
        <w:widowControl w:val="0"/>
        <w:kinsoku/>
        <w:wordWrap/>
        <w:overflowPunct/>
        <w:topLinePunct w:val="0"/>
        <w:autoSpaceDE/>
        <w:autoSpaceDN/>
        <w:bidi w:val="0"/>
        <w:adjustRightInd/>
        <w:snapToGrid/>
        <w:spacing w:afterLines="0" w:line="600" w:lineRule="exact"/>
        <w:ind w:firstLine="640" w:firstLineChars="200"/>
        <w:textAlignment w:val="auto"/>
        <w:rPr>
          <w:rFonts w:hint="eastAsia" w:ascii="黑体" w:hAnsi="黑体" w:eastAsia="黑体" w:cs="黑体"/>
          <w:b w:val="0"/>
          <w:bCs w:val="0"/>
          <w:color w:val="auto"/>
          <w:sz w:val="32"/>
          <w:szCs w:val="32"/>
          <w:u w:val="none" w:color="auto"/>
        </w:rPr>
      </w:pPr>
      <w:r>
        <w:rPr>
          <w:rFonts w:hint="eastAsia" w:ascii="黑体" w:hAnsi="黑体" w:eastAsia="黑体" w:cs="黑体"/>
          <w:b w:val="0"/>
          <w:bCs w:val="0"/>
          <w:color w:val="auto"/>
          <w:sz w:val="32"/>
          <w:szCs w:val="32"/>
          <w:u w:val="none" w:color="auto"/>
          <w:lang w:eastAsia="zh-CN"/>
        </w:rPr>
        <w:t>六、提高综合治理水平和保障能力</w:t>
      </w:r>
    </w:p>
    <w:p>
      <w:pPr>
        <w:widowControl/>
        <w:snapToGrid/>
        <w:spacing w:afterLines="0" w:line="600" w:lineRule="exact"/>
        <w:ind w:firstLine="640" w:firstLineChars="200"/>
        <w:rPr>
          <w:rFonts w:hint="eastAsia"/>
          <w:color w:val="auto"/>
          <w:lang w:eastAsia="zh-CN"/>
        </w:rPr>
      </w:pPr>
      <w:r>
        <w:rPr>
          <w:rFonts w:hint="eastAsia" w:ascii="楷体_GB2312" w:hAnsi="楷体_GB2312" w:eastAsia="楷体_GB2312" w:cs="楷体_GB2312"/>
          <w:color w:val="auto"/>
          <w:sz w:val="32"/>
          <w:szCs w:val="32"/>
          <w:u w:val="none" w:color="auto"/>
        </w:rPr>
        <w:t>（</w:t>
      </w:r>
      <w:r>
        <w:rPr>
          <w:rFonts w:hint="eastAsia" w:ascii="楷体_GB2312" w:hAnsi="楷体_GB2312" w:eastAsia="楷体_GB2312" w:cs="楷体_GB2312"/>
          <w:color w:val="auto"/>
          <w:sz w:val="32"/>
          <w:szCs w:val="32"/>
          <w:u w:val="none" w:color="auto"/>
          <w:lang w:eastAsia="zh-CN"/>
        </w:rPr>
        <w:t>十七</w:t>
      </w:r>
      <w:r>
        <w:rPr>
          <w:rFonts w:hint="eastAsia" w:ascii="楷体_GB2312" w:hAnsi="楷体_GB2312" w:eastAsia="楷体_GB2312" w:cs="楷体_GB2312"/>
          <w:color w:val="auto"/>
          <w:sz w:val="32"/>
          <w:szCs w:val="32"/>
          <w:u w:val="none" w:color="auto"/>
        </w:rPr>
        <w:t>）</w:t>
      </w:r>
      <w:r>
        <w:rPr>
          <w:rFonts w:hint="eastAsia" w:ascii="楷体_GB2312" w:hAnsi="楷体_GB2312" w:eastAsia="楷体_GB2312" w:cs="楷体_GB2312"/>
          <w:color w:val="auto"/>
          <w:sz w:val="32"/>
          <w:szCs w:val="32"/>
          <w:u w:val="none" w:color="auto"/>
          <w:lang w:eastAsia="zh-CN"/>
        </w:rPr>
        <w:t>强化行业统筹协调。</w:t>
      </w:r>
      <w:r>
        <w:rPr>
          <w:rFonts w:hint="eastAsia" w:ascii="仿宋_GB2312" w:hAnsi="仿宋_GB2312" w:eastAsia="仿宋_GB2312" w:cs="仿宋_GB2312"/>
          <w:color w:val="auto"/>
          <w:sz w:val="32"/>
          <w:szCs w:val="32"/>
          <w:highlight w:val="none"/>
          <w:u w:val="none" w:color="auto"/>
          <w:lang w:eastAsia="zh-CN"/>
        </w:rPr>
        <w:t>加强中药产业部门沟通协作，</w:t>
      </w:r>
      <w:r>
        <w:rPr>
          <w:rFonts w:hint="eastAsia" w:ascii="仿宋_GB2312" w:hAnsi="仿宋_GB2312" w:eastAsia="仿宋_GB2312" w:cs="仿宋_GB2312"/>
          <w:color w:val="auto"/>
          <w:sz w:val="32"/>
          <w:szCs w:val="32"/>
          <w:highlight w:val="none"/>
          <w:u w:val="none" w:color="auto"/>
          <w:lang w:val="en-US" w:eastAsia="zh-CN"/>
        </w:rPr>
        <w:t>每年至少召开一次</w:t>
      </w:r>
      <w:r>
        <w:rPr>
          <w:rFonts w:hint="eastAsia" w:ascii="仿宋_GB2312" w:hAnsi="仿宋_GB2312" w:eastAsia="仿宋_GB2312" w:cs="仿宋_GB2312"/>
          <w:color w:val="auto"/>
          <w:sz w:val="32"/>
          <w:szCs w:val="32"/>
          <w:highlight w:val="none"/>
          <w:u w:val="none" w:color="auto"/>
        </w:rPr>
        <w:t>省中医药工作联席会议</w:t>
      </w:r>
      <w:r>
        <w:rPr>
          <w:rFonts w:hint="eastAsia" w:ascii="仿宋_GB2312" w:hAnsi="仿宋_GB2312" w:eastAsia="仿宋_GB2312" w:cs="仿宋_GB2312"/>
          <w:color w:val="auto"/>
          <w:sz w:val="32"/>
          <w:szCs w:val="32"/>
          <w:highlight w:val="none"/>
          <w:u w:val="none" w:color="auto"/>
          <w:lang w:eastAsia="zh-CN"/>
        </w:rPr>
        <w:t>，研究中医药产业发展工作。</w:t>
      </w:r>
      <w:r>
        <w:rPr>
          <w:rFonts w:hint="eastAsia" w:ascii="仿宋_GB2312" w:hAnsi="仿宋_GB2312" w:eastAsia="仿宋_GB2312" w:cs="仿宋_GB2312"/>
          <w:color w:val="auto"/>
          <w:sz w:val="32"/>
          <w:szCs w:val="32"/>
          <w:highlight w:val="none"/>
          <w:u w:val="none" w:color="auto"/>
        </w:rPr>
        <w:t>加强部门</w:t>
      </w:r>
      <w:r>
        <w:rPr>
          <w:rFonts w:hint="eastAsia" w:ascii="仿宋_GB2312" w:hAnsi="仿宋_GB2312" w:eastAsia="仿宋_GB2312" w:cs="仿宋_GB2312"/>
          <w:color w:val="auto"/>
          <w:sz w:val="32"/>
          <w:szCs w:val="32"/>
          <w:highlight w:val="none"/>
          <w:u w:val="none" w:color="auto"/>
          <w:lang w:eastAsia="zh-CN"/>
        </w:rPr>
        <w:t>间</w:t>
      </w:r>
      <w:r>
        <w:rPr>
          <w:rFonts w:hint="eastAsia" w:ascii="仿宋_GB2312" w:hAnsi="仿宋_GB2312" w:eastAsia="仿宋_GB2312" w:cs="仿宋_GB2312"/>
          <w:color w:val="auto"/>
          <w:sz w:val="32"/>
          <w:szCs w:val="32"/>
          <w:highlight w:val="none"/>
          <w:u w:val="none" w:color="auto"/>
        </w:rPr>
        <w:t>数据互通共享，</w:t>
      </w:r>
      <w:r>
        <w:rPr>
          <w:rFonts w:hint="eastAsia" w:ascii="仿宋_GB2312" w:hAnsi="仿宋_GB2312" w:eastAsia="仿宋_GB2312" w:cs="仿宋_GB2312"/>
          <w:color w:val="auto"/>
          <w:sz w:val="32"/>
          <w:szCs w:val="32"/>
          <w:highlight w:val="none"/>
          <w:u w:val="none" w:color="auto"/>
          <w:lang w:eastAsia="zh-CN"/>
        </w:rPr>
        <w:t>逐步建立完善中药产业统计指标体系</w:t>
      </w:r>
      <w:r>
        <w:rPr>
          <w:rFonts w:hint="eastAsia" w:ascii="仿宋_GB2312" w:hAnsi="仿宋_GB2312" w:eastAsia="仿宋_GB2312" w:cs="仿宋_GB2312"/>
          <w:color w:val="auto"/>
          <w:sz w:val="32"/>
          <w:szCs w:val="32"/>
          <w:highlight w:val="none"/>
          <w:u w:val="none" w:color="auto"/>
        </w:rPr>
        <w:t>，强化</w:t>
      </w:r>
      <w:r>
        <w:rPr>
          <w:rFonts w:hint="eastAsia" w:ascii="仿宋_GB2312" w:hAnsi="仿宋_GB2312" w:eastAsia="仿宋_GB2312" w:cs="仿宋_GB2312"/>
          <w:color w:val="auto"/>
          <w:sz w:val="32"/>
          <w:szCs w:val="32"/>
          <w:highlight w:val="none"/>
          <w:u w:val="none" w:color="auto"/>
          <w:lang w:eastAsia="zh-CN"/>
        </w:rPr>
        <w:t>数据</w:t>
      </w:r>
      <w:r>
        <w:rPr>
          <w:rFonts w:hint="eastAsia" w:ascii="仿宋_GB2312" w:hAnsi="仿宋_GB2312" w:eastAsia="仿宋_GB2312" w:cs="仿宋_GB2312"/>
          <w:color w:val="auto"/>
          <w:sz w:val="32"/>
          <w:szCs w:val="32"/>
          <w:highlight w:val="none"/>
          <w:u w:val="none" w:color="auto"/>
        </w:rPr>
        <w:t>分析与应用。</w:t>
      </w:r>
      <w:r>
        <w:rPr>
          <w:rFonts w:hint="eastAsia" w:ascii="仿宋_GB2312" w:hAnsi="仿宋_GB2312" w:eastAsia="仿宋_GB2312" w:cs="仿宋_GB2312"/>
          <w:color w:val="auto"/>
          <w:sz w:val="32"/>
          <w:szCs w:val="32"/>
          <w:highlight w:val="none"/>
          <w:u w:val="none" w:color="auto"/>
          <w:lang w:eastAsia="zh-CN"/>
        </w:rPr>
        <w:t>推动各地</w:t>
      </w:r>
      <w:r>
        <w:rPr>
          <w:rFonts w:hint="eastAsia" w:ascii="仿宋_GB2312" w:hAnsi="仿宋_GB2312" w:eastAsia="仿宋_GB2312" w:cs="仿宋_GB2312"/>
          <w:color w:val="auto"/>
          <w:sz w:val="32"/>
          <w:szCs w:val="32"/>
          <w:highlight w:val="none"/>
          <w:u w:val="none" w:color="auto"/>
        </w:rPr>
        <w:t>落实中医药产业发展主体责任，</w:t>
      </w:r>
      <w:r>
        <w:rPr>
          <w:rFonts w:hint="eastAsia" w:ascii="仿宋_GB2312" w:hAnsi="仿宋_GB2312" w:eastAsia="仿宋_GB2312" w:cs="仿宋_GB2312"/>
          <w:color w:val="auto"/>
          <w:sz w:val="32"/>
          <w:szCs w:val="32"/>
          <w:highlight w:val="none"/>
          <w:u w:val="none" w:color="auto"/>
          <w:lang w:eastAsia="zh-CN"/>
        </w:rPr>
        <w:t>将中医药融入各相关产业规划及政策</w:t>
      </w:r>
      <w:r>
        <w:rPr>
          <w:rFonts w:hint="eastAsia" w:ascii="仿宋_GB2312" w:hAnsi="仿宋_GB2312" w:eastAsia="仿宋_GB2312" w:cs="仿宋_GB2312"/>
          <w:color w:val="auto"/>
          <w:sz w:val="32"/>
          <w:szCs w:val="32"/>
          <w:highlight w:val="none"/>
          <w:u w:val="none" w:color="auto"/>
        </w:rPr>
        <w:t>。</w:t>
      </w:r>
      <w:r>
        <w:rPr>
          <w:rFonts w:hint="eastAsia" w:ascii="仿宋_GB2312" w:hAnsi="仿宋_GB2312" w:eastAsia="仿宋_GB2312" w:cs="仿宋_GB2312"/>
          <w:b/>
          <w:bCs/>
          <w:color w:val="auto"/>
          <w:sz w:val="32"/>
          <w:szCs w:val="32"/>
          <w:highlight w:val="none"/>
          <w:u w:val="none" w:color="auto"/>
          <w:lang w:eastAsia="zh-CN"/>
        </w:rPr>
        <w:t>（</w:t>
      </w:r>
      <w:r>
        <w:rPr>
          <w:rFonts w:hint="eastAsia" w:ascii="仿宋_GB2312" w:hAnsi="仿宋_GB2312" w:eastAsia="仿宋_GB2312" w:cs="仿宋_GB2312"/>
          <w:b/>
          <w:bCs/>
          <w:color w:val="auto"/>
          <w:sz w:val="32"/>
          <w:szCs w:val="32"/>
          <w:highlight w:val="none"/>
          <w:u w:val="none" w:color="auto"/>
        </w:rPr>
        <w:t>省卫健委、科技厅、农业农村厅、林</w:t>
      </w:r>
      <w:r>
        <w:rPr>
          <w:rFonts w:hint="eastAsia" w:ascii="仿宋_GB2312" w:hAnsi="仿宋_GB2312" w:eastAsia="仿宋_GB2312" w:cs="仿宋_GB2312"/>
          <w:b/>
          <w:bCs/>
          <w:color w:val="auto"/>
          <w:sz w:val="32"/>
          <w:szCs w:val="32"/>
          <w:highlight w:val="none"/>
          <w:u w:val="none" w:color="auto"/>
          <w:lang w:eastAsia="zh-CN"/>
        </w:rPr>
        <w:t>业</w:t>
      </w:r>
      <w:r>
        <w:rPr>
          <w:rFonts w:hint="eastAsia" w:ascii="仿宋_GB2312" w:hAnsi="仿宋_GB2312" w:eastAsia="仿宋_GB2312" w:cs="仿宋_GB2312"/>
          <w:b/>
          <w:bCs/>
          <w:color w:val="auto"/>
          <w:sz w:val="32"/>
          <w:szCs w:val="32"/>
          <w:highlight w:val="none"/>
          <w:u w:val="none" w:color="auto"/>
        </w:rPr>
        <w:t>局</w:t>
      </w:r>
      <w:r>
        <w:rPr>
          <w:rFonts w:hint="eastAsia" w:ascii="仿宋_GB2312" w:hAnsi="仿宋_GB2312" w:eastAsia="仿宋_GB2312" w:cs="仿宋_GB2312"/>
          <w:b/>
          <w:bCs/>
          <w:color w:val="auto"/>
          <w:sz w:val="32"/>
          <w:szCs w:val="32"/>
          <w:highlight w:val="none"/>
          <w:u w:val="none" w:color="auto"/>
          <w:lang w:eastAsia="zh-CN"/>
        </w:rPr>
        <w:t>、海洋渔业局、</w:t>
      </w:r>
      <w:r>
        <w:rPr>
          <w:rFonts w:hint="eastAsia" w:ascii="仿宋_GB2312" w:hAnsi="仿宋_GB2312" w:eastAsia="仿宋_GB2312" w:cs="仿宋_GB2312"/>
          <w:b/>
          <w:bCs/>
          <w:color w:val="auto"/>
          <w:sz w:val="32"/>
          <w:szCs w:val="32"/>
          <w:highlight w:val="none"/>
          <w:u w:val="none" w:color="auto"/>
        </w:rPr>
        <w:t>工信厅、</w:t>
      </w:r>
      <w:r>
        <w:rPr>
          <w:rFonts w:hint="eastAsia" w:ascii="仿宋_GB2312" w:hAnsi="仿宋_GB2312" w:eastAsia="仿宋_GB2312" w:cs="仿宋_GB2312"/>
          <w:b/>
          <w:bCs/>
          <w:color w:val="auto"/>
          <w:sz w:val="32"/>
          <w:szCs w:val="32"/>
          <w:highlight w:val="none"/>
          <w:u w:val="none" w:color="auto"/>
          <w:lang w:eastAsia="zh-CN"/>
        </w:rPr>
        <w:t>商务厅、文旅厅、</w:t>
      </w:r>
      <w:r>
        <w:rPr>
          <w:rFonts w:hint="eastAsia" w:ascii="仿宋_GB2312" w:hAnsi="仿宋_GB2312" w:eastAsia="仿宋_GB2312" w:cs="仿宋_GB2312"/>
          <w:b/>
          <w:bCs/>
          <w:color w:val="auto"/>
          <w:sz w:val="32"/>
          <w:szCs w:val="32"/>
          <w:highlight w:val="none"/>
          <w:u w:val="none" w:color="auto"/>
        </w:rPr>
        <w:t>药监局</w:t>
      </w:r>
      <w:r>
        <w:rPr>
          <w:rFonts w:hint="eastAsia" w:ascii="仿宋_GB2312" w:hAnsi="仿宋_GB2312" w:eastAsia="仿宋_GB2312" w:cs="仿宋_GB2312"/>
          <w:b/>
          <w:bCs/>
          <w:color w:val="auto"/>
          <w:sz w:val="32"/>
          <w:szCs w:val="32"/>
          <w:highlight w:val="none"/>
          <w:u w:val="none" w:color="auto"/>
          <w:lang w:eastAsia="zh-CN"/>
        </w:rPr>
        <w:t>、</w:t>
      </w:r>
      <w:r>
        <w:rPr>
          <w:rFonts w:hint="eastAsia" w:ascii="仿宋_GB2312" w:hAnsi="仿宋_GB2312" w:eastAsia="仿宋_GB2312" w:cs="仿宋_GB2312"/>
          <w:b/>
          <w:bCs/>
          <w:color w:val="auto"/>
          <w:sz w:val="32"/>
          <w:szCs w:val="32"/>
          <w:highlight w:val="none"/>
          <w:u w:val="none" w:color="auto"/>
        </w:rPr>
        <w:t>医保局</w:t>
      </w:r>
      <w:r>
        <w:rPr>
          <w:rFonts w:hint="eastAsia" w:ascii="仿宋_GB2312" w:hAnsi="仿宋_GB2312" w:eastAsia="仿宋_GB2312" w:cs="仿宋_GB2312"/>
          <w:b/>
          <w:bCs/>
          <w:color w:val="auto"/>
          <w:kern w:val="2"/>
          <w:sz w:val="32"/>
          <w:szCs w:val="32"/>
          <w:u w:val="none" w:color="auto"/>
          <w:lang w:val="en-US" w:eastAsia="zh-CN" w:bidi="ar-SA"/>
        </w:rPr>
        <w:t>按职责分工负责</w:t>
      </w:r>
      <w:r>
        <w:rPr>
          <w:rFonts w:hint="eastAsia" w:ascii="仿宋_GB2312" w:hAnsi="仿宋_GB2312" w:eastAsia="仿宋_GB2312" w:cs="仿宋_GB2312"/>
          <w:b/>
          <w:bCs/>
          <w:color w:val="auto"/>
          <w:sz w:val="32"/>
          <w:szCs w:val="32"/>
          <w:highlight w:val="none"/>
          <w:u w:val="none" w:color="auto"/>
          <w:lang w:eastAsia="zh-CN"/>
        </w:rPr>
        <w:t>）</w:t>
      </w:r>
    </w:p>
    <w:p>
      <w:pPr>
        <w:pStyle w:val="6"/>
        <w:keepNext w:val="0"/>
        <w:keepLines w:val="0"/>
        <w:pageBreakBefore w:val="0"/>
        <w:widowControl/>
        <w:kinsoku/>
        <w:wordWrap/>
        <w:overflowPunct/>
        <w:topLinePunct w:val="0"/>
        <w:autoSpaceDE/>
        <w:autoSpaceDN/>
        <w:bidi w:val="0"/>
        <w:adjustRightInd/>
        <w:snapToGrid/>
        <w:spacing w:after="0" w:afterLines="0" w:line="600" w:lineRule="exact"/>
        <w:ind w:left="0" w:leftChars="0" w:firstLine="640" w:firstLineChars="200"/>
        <w:jc w:val="left"/>
        <w:textAlignment w:val="auto"/>
        <w:rPr>
          <w:rFonts w:hint="eastAsia" w:ascii="仿宋_GB2312" w:hAnsi="仿宋_GB2312" w:eastAsia="仿宋_GB2312" w:cs="仿宋_GB2312"/>
          <w:color w:val="auto"/>
          <w:sz w:val="32"/>
          <w:szCs w:val="32"/>
          <w:u w:val="none" w:color="auto"/>
          <w:lang w:eastAsia="zh-CN"/>
        </w:rPr>
      </w:pPr>
      <w:r>
        <w:rPr>
          <w:rFonts w:hint="eastAsia" w:ascii="楷体_GB2312" w:hAnsi="楷体_GB2312" w:eastAsia="楷体_GB2312" w:cs="楷体_GB2312"/>
          <w:color w:val="auto"/>
          <w:sz w:val="32"/>
          <w:szCs w:val="32"/>
          <w:u w:val="none" w:color="auto"/>
        </w:rPr>
        <w:t>（</w:t>
      </w:r>
      <w:r>
        <w:rPr>
          <w:rFonts w:hint="eastAsia" w:ascii="楷体_GB2312" w:hAnsi="楷体_GB2312" w:eastAsia="楷体_GB2312" w:cs="楷体_GB2312"/>
          <w:color w:val="auto"/>
          <w:sz w:val="32"/>
          <w:szCs w:val="32"/>
          <w:highlight w:val="none"/>
          <w:u w:val="none" w:color="auto"/>
          <w:lang w:eastAsia="zh-CN"/>
        </w:rPr>
        <w:t>十八</w:t>
      </w:r>
      <w:r>
        <w:rPr>
          <w:rFonts w:hint="eastAsia" w:ascii="楷体_GB2312" w:hAnsi="楷体_GB2312" w:eastAsia="楷体_GB2312" w:cs="楷体_GB2312"/>
          <w:color w:val="auto"/>
          <w:sz w:val="32"/>
          <w:szCs w:val="32"/>
          <w:u w:val="none" w:color="auto"/>
        </w:rPr>
        <w:t>）</w:t>
      </w:r>
      <w:r>
        <w:rPr>
          <w:rFonts w:hint="eastAsia" w:ascii="楷体_GB2312" w:hAnsi="楷体_GB2312" w:eastAsia="楷体_GB2312" w:cs="楷体_GB2312"/>
          <w:color w:val="auto"/>
          <w:sz w:val="32"/>
          <w:szCs w:val="32"/>
          <w:u w:val="none" w:color="auto"/>
          <w:lang w:eastAsia="zh-CN"/>
        </w:rPr>
        <w:t>加大政策资金</w:t>
      </w:r>
      <w:r>
        <w:rPr>
          <w:rFonts w:hint="eastAsia" w:ascii="楷体_GB2312" w:hAnsi="楷体_GB2312" w:eastAsia="楷体_GB2312" w:cs="楷体_GB2312"/>
          <w:color w:val="auto"/>
          <w:sz w:val="32"/>
          <w:szCs w:val="32"/>
          <w:u w:val="none" w:color="auto"/>
        </w:rPr>
        <w:t>支持。</w:t>
      </w:r>
      <w:r>
        <w:rPr>
          <w:rFonts w:hint="eastAsia" w:ascii="仿宋_GB2312" w:hAnsi="仿宋_GB2312" w:eastAsia="仿宋_GB2312" w:cs="仿宋_GB2312"/>
          <w:color w:val="auto"/>
          <w:sz w:val="32"/>
          <w:szCs w:val="32"/>
          <w:u w:val="none" w:color="auto"/>
        </w:rPr>
        <w:t>统筹</w:t>
      </w:r>
      <w:r>
        <w:rPr>
          <w:rFonts w:hint="eastAsia" w:ascii="仿宋_GB2312" w:hAnsi="仿宋_GB2312" w:eastAsia="仿宋_GB2312" w:cs="仿宋_GB2312"/>
          <w:color w:val="auto"/>
          <w:sz w:val="32"/>
          <w:szCs w:val="32"/>
          <w:u w:val="none" w:color="auto"/>
          <w:lang w:eastAsia="zh-CN"/>
        </w:rPr>
        <w:t>多渠道资金支持中医药产业发展，加强相关产业政策集成。</w:t>
      </w:r>
      <w:r>
        <w:rPr>
          <w:rFonts w:hint="eastAsia" w:ascii="仿宋_GB2312" w:hAnsi="仿宋_GB2312" w:eastAsia="仿宋_GB2312" w:cs="仿宋_GB2312"/>
          <w:color w:val="auto"/>
          <w:sz w:val="32"/>
          <w:szCs w:val="32"/>
          <w:u w:val="none" w:color="auto"/>
        </w:rPr>
        <w:t>将中医药产业纳入金融支持福建省县域重点产业链行动范围，鼓励金融机构完善信贷产品和服务模式，加大</w:t>
      </w:r>
      <w:r>
        <w:rPr>
          <w:rFonts w:hint="eastAsia" w:ascii="仿宋_GB2312" w:hAnsi="仿宋_GB2312" w:eastAsia="仿宋_GB2312" w:cs="仿宋_GB2312"/>
          <w:color w:val="auto"/>
          <w:sz w:val="32"/>
          <w:szCs w:val="32"/>
          <w:u w:val="none" w:color="auto"/>
          <w:lang w:eastAsia="zh-CN"/>
        </w:rPr>
        <w:t>针对中医药</w:t>
      </w:r>
      <w:r>
        <w:rPr>
          <w:rFonts w:hint="eastAsia" w:ascii="仿宋_GB2312" w:hAnsi="仿宋_GB2312" w:eastAsia="仿宋_GB2312" w:cs="仿宋_GB2312"/>
          <w:color w:val="auto"/>
          <w:sz w:val="32"/>
          <w:szCs w:val="32"/>
          <w:u w:val="none" w:color="auto"/>
        </w:rPr>
        <w:t>产业</w:t>
      </w:r>
      <w:r>
        <w:rPr>
          <w:rFonts w:hint="eastAsia" w:ascii="仿宋_GB2312" w:hAnsi="仿宋_GB2312" w:eastAsia="仿宋_GB2312" w:cs="仿宋_GB2312"/>
          <w:color w:val="auto"/>
          <w:sz w:val="32"/>
          <w:szCs w:val="32"/>
          <w:u w:val="none" w:color="auto"/>
          <w:lang w:eastAsia="zh-CN"/>
        </w:rPr>
        <w:t>的</w:t>
      </w:r>
      <w:r>
        <w:rPr>
          <w:rFonts w:hint="eastAsia" w:ascii="仿宋_GB2312" w:hAnsi="仿宋_GB2312" w:eastAsia="仿宋_GB2312" w:cs="仿宋_GB2312"/>
          <w:color w:val="auto"/>
          <w:sz w:val="32"/>
          <w:szCs w:val="32"/>
          <w:u w:val="none" w:color="auto"/>
        </w:rPr>
        <w:t>信贷</w:t>
      </w:r>
      <w:r>
        <w:rPr>
          <w:rFonts w:hint="eastAsia" w:ascii="仿宋_GB2312" w:hAnsi="仿宋_GB2312" w:eastAsia="仿宋_GB2312" w:cs="仿宋_GB2312"/>
          <w:color w:val="auto"/>
          <w:sz w:val="32"/>
          <w:szCs w:val="32"/>
          <w:u w:val="none" w:color="auto"/>
          <w:lang w:eastAsia="zh-CN"/>
        </w:rPr>
        <w:t>、融资以及保险保障支持。</w:t>
      </w:r>
      <w:r>
        <w:rPr>
          <w:rFonts w:hint="eastAsia" w:ascii="仿宋_GB2312" w:hAnsi="仿宋_GB2312" w:eastAsia="仿宋_GB2312" w:cs="仿宋_GB2312"/>
          <w:b/>
          <w:bCs/>
          <w:color w:val="auto"/>
          <w:sz w:val="32"/>
          <w:szCs w:val="32"/>
          <w:u w:val="none" w:color="auto"/>
          <w:lang w:eastAsia="zh-CN"/>
        </w:rPr>
        <w:t>（</w:t>
      </w:r>
      <w:r>
        <w:rPr>
          <w:rFonts w:hint="eastAsia" w:ascii="仿宋_GB2312" w:hAnsi="仿宋_GB2312" w:eastAsia="仿宋_GB2312" w:cs="仿宋_GB2312"/>
          <w:b/>
          <w:bCs/>
          <w:color w:val="auto"/>
          <w:sz w:val="32"/>
          <w:szCs w:val="32"/>
          <w:u w:val="none" w:color="auto"/>
          <w:lang w:val="en-US" w:eastAsia="zh-CN"/>
        </w:rPr>
        <w:t>省委金融办，省</w:t>
      </w:r>
      <w:r>
        <w:rPr>
          <w:rFonts w:hint="eastAsia" w:ascii="仿宋_GB2312" w:hAnsi="仿宋_GB2312" w:eastAsia="仿宋_GB2312" w:cs="仿宋_GB2312"/>
          <w:b/>
          <w:bCs/>
          <w:color w:val="auto"/>
          <w:sz w:val="32"/>
          <w:szCs w:val="32"/>
          <w:u w:val="none" w:color="auto"/>
          <w:lang w:eastAsia="zh-CN"/>
        </w:rPr>
        <w:t>工信厅、</w:t>
      </w:r>
      <w:r>
        <w:rPr>
          <w:rFonts w:hint="eastAsia" w:ascii="仿宋_GB2312" w:hAnsi="仿宋_GB2312" w:eastAsia="仿宋_GB2312" w:cs="仿宋_GB2312"/>
          <w:b/>
          <w:bCs/>
          <w:color w:val="auto"/>
          <w:sz w:val="32"/>
          <w:szCs w:val="32"/>
          <w:highlight w:val="none"/>
          <w:u w:val="none" w:color="auto"/>
        </w:rPr>
        <w:t>农业农村厅、林</w:t>
      </w:r>
      <w:r>
        <w:rPr>
          <w:rFonts w:hint="eastAsia" w:ascii="仿宋_GB2312" w:hAnsi="仿宋_GB2312" w:eastAsia="仿宋_GB2312" w:cs="仿宋_GB2312"/>
          <w:b/>
          <w:bCs/>
          <w:color w:val="auto"/>
          <w:sz w:val="32"/>
          <w:szCs w:val="32"/>
          <w:highlight w:val="none"/>
          <w:u w:val="none" w:color="auto"/>
          <w:lang w:eastAsia="zh-CN"/>
        </w:rPr>
        <w:t>业</w:t>
      </w:r>
      <w:r>
        <w:rPr>
          <w:rFonts w:hint="eastAsia" w:ascii="仿宋_GB2312" w:hAnsi="仿宋_GB2312" w:eastAsia="仿宋_GB2312" w:cs="仿宋_GB2312"/>
          <w:b/>
          <w:bCs/>
          <w:color w:val="auto"/>
          <w:sz w:val="32"/>
          <w:szCs w:val="32"/>
          <w:highlight w:val="none"/>
          <w:u w:val="none" w:color="auto"/>
        </w:rPr>
        <w:t>局</w:t>
      </w:r>
      <w:r>
        <w:rPr>
          <w:rFonts w:hint="eastAsia" w:ascii="仿宋_GB2312" w:hAnsi="仿宋_GB2312" w:eastAsia="仿宋_GB2312" w:cs="仿宋_GB2312"/>
          <w:b/>
          <w:bCs/>
          <w:color w:val="auto"/>
          <w:sz w:val="32"/>
          <w:szCs w:val="32"/>
          <w:highlight w:val="none"/>
          <w:u w:val="none" w:color="auto"/>
          <w:lang w:eastAsia="zh-CN"/>
        </w:rPr>
        <w:t>、海洋渔业局、商务厅、文旅厅、</w:t>
      </w:r>
      <w:r>
        <w:rPr>
          <w:rFonts w:hint="eastAsia" w:ascii="仿宋_GB2312" w:hAnsi="仿宋_GB2312" w:eastAsia="仿宋_GB2312" w:cs="仿宋_GB2312"/>
          <w:b/>
          <w:bCs/>
          <w:color w:val="auto"/>
          <w:sz w:val="32"/>
          <w:szCs w:val="32"/>
          <w:u w:val="none" w:color="auto"/>
          <w:lang w:eastAsia="zh-CN"/>
        </w:rPr>
        <w:t>卫健委</w:t>
      </w:r>
      <w:r>
        <w:rPr>
          <w:rFonts w:hint="eastAsia" w:ascii="仿宋_GB2312" w:hAnsi="仿宋_GB2312" w:eastAsia="仿宋_GB2312" w:cs="仿宋_GB2312"/>
          <w:b/>
          <w:bCs/>
          <w:color w:val="auto"/>
          <w:kern w:val="2"/>
          <w:sz w:val="32"/>
          <w:szCs w:val="32"/>
          <w:u w:val="none" w:color="auto"/>
          <w:lang w:val="en-US" w:eastAsia="zh-CN" w:bidi="ar-SA"/>
        </w:rPr>
        <w:t>按职责分工负责</w:t>
      </w:r>
      <w:r>
        <w:rPr>
          <w:rFonts w:hint="eastAsia" w:ascii="仿宋_GB2312" w:hAnsi="仿宋_GB2312" w:eastAsia="仿宋_GB2312" w:cs="仿宋_GB2312"/>
          <w:b/>
          <w:bCs/>
          <w:color w:val="auto"/>
          <w:sz w:val="32"/>
          <w:szCs w:val="32"/>
          <w:u w:val="none" w:color="auto"/>
          <w:lang w:eastAsia="zh-CN"/>
        </w:rPr>
        <w:t>）</w:t>
      </w:r>
    </w:p>
    <w:p>
      <w:pPr>
        <w:pStyle w:val="2"/>
        <w:spacing w:afterLines="0" w:line="600" w:lineRule="exact"/>
        <w:rPr>
          <w:rFonts w:hint="default"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本措施执行期限自发布之日起至2028年12月31日，其中涉及资金奖补等政策执行期限自2026年1月1日起执行。厦门市可参照执行，所需资金由厦门市政府统筹解决。本措施与本省其他同类政策有重复的，按照“从优、从高、不重复”的原则予以支持。</w:t>
      </w:r>
    </w:p>
    <w:sectPr>
      <w:footerReference r:id="rId3" w:type="default"/>
      <w:pgSz w:w="11906" w:h="16838"/>
      <w:pgMar w:top="1780" w:right="1519" w:bottom="1723" w:left="1576" w:header="851" w:footer="992" w:gutter="0"/>
      <w:pgNumType w:fmt="decimal" w:start="3"/>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汉仪中等线B5"/>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altName w:val="宋体"/>
    <w:panose1 w:val="02010609060101010101"/>
    <w:charset w:val="00"/>
    <w:family w:val="auto"/>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 w:name="汉仪中等线B5">
    <w:panose1 w:val="0101010401010101010B"/>
    <w:charset w:val="86"/>
    <w:family w:val="auto"/>
    <w:pitch w:val="default"/>
    <w:sig w:usb0="800000A3" w:usb1="00497878"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WAAAAZHJzL1BLAQIUABQAAAAIAIdO&#10;4kDOqXm5zwAAAAUBAAAPAAAAAAAAAAEAIAAAADgAAABkcnMvZG93bnJldi54bWxQSwECFAAUAAAA&#10;CACHTuJA3rEPMeEBAADMAwAADgAAAAAAAAABACAAAAA0AQAAZHJzL2Uyb0RvYy54bWxQSwUGAAAA&#10;AAYABgBZAQAAhwUAAAAA&#10;">
              <v:fill on="f" focussize="0,0"/>
              <v:stroke on="f"/>
              <v:imagedata o:title=""/>
              <o:lock v:ext="edit" aspectratio="f"/>
              <v:textbox inset="0mm,0mm,0mm,0mm" style="mso-fit-shape-to-text:t;">
                <w:txbxContent>
                  <w:p>
                    <w:pPr>
                      <w:pStyle w:val="2"/>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EFB987"/>
    <w:rsid w:val="173F11A4"/>
    <w:rsid w:val="17AB4B6D"/>
    <w:rsid w:val="1BCFCA2C"/>
    <w:rsid w:val="1E36DAEC"/>
    <w:rsid w:val="1FFF1BDD"/>
    <w:rsid w:val="21DEDD93"/>
    <w:rsid w:val="2BC9D460"/>
    <w:rsid w:val="2EFF6702"/>
    <w:rsid w:val="2FACF32B"/>
    <w:rsid w:val="2FFD3965"/>
    <w:rsid w:val="376FD3DA"/>
    <w:rsid w:val="37DA77D1"/>
    <w:rsid w:val="3DBE8FD5"/>
    <w:rsid w:val="3EB9A07D"/>
    <w:rsid w:val="3EBF9388"/>
    <w:rsid w:val="3EE9C298"/>
    <w:rsid w:val="3EF2DA68"/>
    <w:rsid w:val="3EFF44A8"/>
    <w:rsid w:val="4E351597"/>
    <w:rsid w:val="53FDE65D"/>
    <w:rsid w:val="55FA9169"/>
    <w:rsid w:val="577B0619"/>
    <w:rsid w:val="57F664C6"/>
    <w:rsid w:val="57FA54C0"/>
    <w:rsid w:val="5BFB909E"/>
    <w:rsid w:val="5DBE8372"/>
    <w:rsid w:val="5EFFFDC9"/>
    <w:rsid w:val="5F3EBEA7"/>
    <w:rsid w:val="5F9FFF0A"/>
    <w:rsid w:val="5FAE81C0"/>
    <w:rsid w:val="5FBF7266"/>
    <w:rsid w:val="5FBFA89D"/>
    <w:rsid w:val="5FDFCF5A"/>
    <w:rsid w:val="5FF69012"/>
    <w:rsid w:val="5FFE4F37"/>
    <w:rsid w:val="5FFF56A1"/>
    <w:rsid w:val="67DD43E2"/>
    <w:rsid w:val="67FF9C53"/>
    <w:rsid w:val="69EF5809"/>
    <w:rsid w:val="6D7E91F6"/>
    <w:rsid w:val="6E9DF8EE"/>
    <w:rsid w:val="6EFE43D9"/>
    <w:rsid w:val="6F7E9FA8"/>
    <w:rsid w:val="6FD7DF36"/>
    <w:rsid w:val="6FF2A210"/>
    <w:rsid w:val="6FFDAE9D"/>
    <w:rsid w:val="6FFF2FB6"/>
    <w:rsid w:val="71BD50D6"/>
    <w:rsid w:val="73C7B81C"/>
    <w:rsid w:val="74DB7DF8"/>
    <w:rsid w:val="75A7B770"/>
    <w:rsid w:val="75E7B49C"/>
    <w:rsid w:val="76BA3394"/>
    <w:rsid w:val="777AAA2B"/>
    <w:rsid w:val="77BFD48A"/>
    <w:rsid w:val="799B2BD4"/>
    <w:rsid w:val="79EF4327"/>
    <w:rsid w:val="7B4FC524"/>
    <w:rsid w:val="7B7EF1E7"/>
    <w:rsid w:val="7BF376FB"/>
    <w:rsid w:val="7BFEEFE5"/>
    <w:rsid w:val="7D7ED1D8"/>
    <w:rsid w:val="7DAFB534"/>
    <w:rsid w:val="7DB450E8"/>
    <w:rsid w:val="7DBFC388"/>
    <w:rsid w:val="7DDB28A1"/>
    <w:rsid w:val="7DDFA9F8"/>
    <w:rsid w:val="7DFC5199"/>
    <w:rsid w:val="7DFFD1E5"/>
    <w:rsid w:val="7E57A55D"/>
    <w:rsid w:val="7E7E8A8C"/>
    <w:rsid w:val="7EAF443D"/>
    <w:rsid w:val="7EEFF151"/>
    <w:rsid w:val="7EFE9085"/>
    <w:rsid w:val="7EFFE21B"/>
    <w:rsid w:val="7F73E74E"/>
    <w:rsid w:val="7F7D65FE"/>
    <w:rsid w:val="7FB6DA19"/>
    <w:rsid w:val="7FEB6052"/>
    <w:rsid w:val="7FEFD20F"/>
    <w:rsid w:val="7FFBB4B6"/>
    <w:rsid w:val="7FFC2CDD"/>
    <w:rsid w:val="7FFF62D2"/>
    <w:rsid w:val="7FFF8F29"/>
    <w:rsid w:val="7FFFB022"/>
    <w:rsid w:val="7FFFD0F1"/>
    <w:rsid w:val="8EEDD08F"/>
    <w:rsid w:val="978687AD"/>
    <w:rsid w:val="9F3ECAF1"/>
    <w:rsid w:val="9F774B68"/>
    <w:rsid w:val="A8FFF4F0"/>
    <w:rsid w:val="ACFF127E"/>
    <w:rsid w:val="B5DE8373"/>
    <w:rsid w:val="B7FF9454"/>
    <w:rsid w:val="B9B84326"/>
    <w:rsid w:val="BAFF8F9B"/>
    <w:rsid w:val="BB9DAE0F"/>
    <w:rsid w:val="BBDD58D4"/>
    <w:rsid w:val="BDEB848C"/>
    <w:rsid w:val="BF932D97"/>
    <w:rsid w:val="BFBEFE1A"/>
    <w:rsid w:val="BFF7558D"/>
    <w:rsid w:val="BFFF0B8C"/>
    <w:rsid w:val="BFFF6DD4"/>
    <w:rsid w:val="C7FFD5CF"/>
    <w:rsid w:val="CFAF5353"/>
    <w:rsid w:val="CFE68212"/>
    <w:rsid w:val="D6FE3DE4"/>
    <w:rsid w:val="DBF60DE9"/>
    <w:rsid w:val="DD3EE082"/>
    <w:rsid w:val="DF3B46EF"/>
    <w:rsid w:val="DF7579C0"/>
    <w:rsid w:val="DFAD506C"/>
    <w:rsid w:val="DFBAC7C6"/>
    <w:rsid w:val="DFDFC22D"/>
    <w:rsid w:val="E5DB21AA"/>
    <w:rsid w:val="EAB278E3"/>
    <w:rsid w:val="EBB63857"/>
    <w:rsid w:val="EBF73987"/>
    <w:rsid w:val="ED757552"/>
    <w:rsid w:val="EE77DA9F"/>
    <w:rsid w:val="EE7FBE41"/>
    <w:rsid w:val="EF7C92B6"/>
    <w:rsid w:val="F39533E1"/>
    <w:rsid w:val="F3BF5D3C"/>
    <w:rsid w:val="F3FDD518"/>
    <w:rsid w:val="F4FFC97D"/>
    <w:rsid w:val="F57F05F9"/>
    <w:rsid w:val="F735EE0B"/>
    <w:rsid w:val="F73F3984"/>
    <w:rsid w:val="F73FF3EB"/>
    <w:rsid w:val="F77C54FB"/>
    <w:rsid w:val="F77F66D4"/>
    <w:rsid w:val="F7FBB3FD"/>
    <w:rsid w:val="F8FD9C2D"/>
    <w:rsid w:val="F9FD39E0"/>
    <w:rsid w:val="FA3B287B"/>
    <w:rsid w:val="FBBF6D04"/>
    <w:rsid w:val="FBDFEC56"/>
    <w:rsid w:val="FBF78EC5"/>
    <w:rsid w:val="FC732FA5"/>
    <w:rsid w:val="FCBE192F"/>
    <w:rsid w:val="FCE717D4"/>
    <w:rsid w:val="FCF7D693"/>
    <w:rsid w:val="FDBC29B3"/>
    <w:rsid w:val="FDE23CE4"/>
    <w:rsid w:val="FDF59BC2"/>
    <w:rsid w:val="FDFDB8DE"/>
    <w:rsid w:val="FDFF4F28"/>
    <w:rsid w:val="FEDFA1FF"/>
    <w:rsid w:val="FEFBF484"/>
    <w:rsid w:val="FF4E677D"/>
    <w:rsid w:val="FF6C737C"/>
    <w:rsid w:val="FF756A6A"/>
    <w:rsid w:val="FF7900C6"/>
    <w:rsid w:val="FFABA0E5"/>
    <w:rsid w:val="FFBFCC8F"/>
    <w:rsid w:val="FFDF58AB"/>
    <w:rsid w:val="FFDFD63A"/>
    <w:rsid w:val="FFDFDE38"/>
    <w:rsid w:val="FFEFB987"/>
    <w:rsid w:val="FFF3AC25"/>
    <w:rsid w:val="FFF78A32"/>
    <w:rsid w:val="FFFEFAC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qFormat="1"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rPr>
  </w:style>
  <w:style w:type="paragraph" w:styleId="3">
    <w:name w:val="index 5"/>
    <w:basedOn w:val="1"/>
    <w:next w:val="1"/>
    <w:qFormat/>
    <w:uiPriority w:val="0"/>
    <w:pPr>
      <w:widowControl w:val="0"/>
      <w:ind w:left="1680"/>
      <w:jc w:val="both"/>
    </w:pPr>
    <w:rPr>
      <w:rFonts w:ascii="Times New Roman" w:hAnsi="Times New Roman" w:eastAsia="仿宋_GB2312" w:cs="Times New Roman"/>
      <w:kern w:val="2"/>
      <w:sz w:val="32"/>
      <w:szCs w:val="32"/>
      <w:lang w:val="en-US" w:eastAsia="zh-CN" w:bidi="ar-SA"/>
    </w:rPr>
  </w:style>
  <w:style w:type="paragraph" w:styleId="4">
    <w:name w:val="index 6"/>
    <w:next w:val="1"/>
    <w:unhideWhenUsed/>
    <w:qFormat/>
    <w:uiPriority w:val="99"/>
    <w:pPr>
      <w:widowControl w:val="0"/>
      <w:ind w:left="2100"/>
      <w:jc w:val="both"/>
    </w:pPr>
    <w:rPr>
      <w:rFonts w:ascii="Times New Roman" w:hAnsi="Times New Roman" w:eastAsia="宋体" w:cs="Times New Roman"/>
      <w:kern w:val="2"/>
      <w:sz w:val="21"/>
      <w:szCs w:val="24"/>
      <w:lang w:val="en-US" w:eastAsia="zh-CN" w:bidi="ar-SA"/>
    </w:rPr>
  </w:style>
  <w:style w:type="paragraph" w:styleId="5">
    <w:name w:val="Body Text Indent"/>
    <w:basedOn w:val="1"/>
    <w:next w:val="6"/>
    <w:unhideWhenUsed/>
    <w:qFormat/>
    <w:uiPriority w:val="99"/>
    <w:pPr>
      <w:spacing w:after="120" w:afterLines="0"/>
      <w:ind w:left="420" w:leftChars="200"/>
    </w:pPr>
  </w:style>
  <w:style w:type="paragraph" w:styleId="6">
    <w:name w:val="Body Text First Indent 2"/>
    <w:basedOn w:val="5"/>
    <w:next w:val="4"/>
    <w:unhideWhenUsed/>
    <w:qFormat/>
    <w:uiPriority w:val="99"/>
    <w:pPr>
      <w:ind w:firstLine="420" w:firstLineChars="200"/>
    </w:p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554</TotalTime>
  <ScaleCrop>false</ScaleCrop>
  <LinksUpToDate>false</LinksUpToDate>
  <CharactersWithSpaces>0</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2025-11-30T17:59:00Z</dcterms:created>
  <dc:creator>周双</dc:creator>
  <cp:lastModifiedBy>周双</cp:lastModifiedBy>
  <cp:lastPrinted>2026-05-28T11:31:00Z</cp:lastPrinted>
  <dcterms:modified xsi:type="dcterms:W3CDTF">2026-05-28T16:17:02Z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EE01B82347D08BE5697CD8694B3A796E</vt:lpwstr>
  </property>
</Properties>
</file>