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afterAutospacing="0" w:line="590" w:lineRule="exact"/>
        <w:ind w:left="0" w:leftChars="0" w:firstLine="0"/>
        <w:jc w:val="both"/>
        <w:outlineLvl w:val="9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spacing w:line="62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卫生健康部门推进分级诊疗工作</w:t>
      </w:r>
    </w:p>
    <w:p>
      <w:pPr>
        <w:pStyle w:val="2"/>
        <w:spacing w:line="62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重点监测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评价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指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标</w:t>
      </w:r>
    </w:p>
    <w:p>
      <w:pPr>
        <w:pStyle w:val="2"/>
        <w:spacing w:line="570" w:lineRule="exact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一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分级诊疗体系建设指标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1.到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2025年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（下同）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，政府办基层医疗卫生机构达到服务能力基本标准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≥75%，达到推荐标准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≥15%；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每千常住人口基层卫生人员数≥3.5人，卫生技术人员比例≥80%，政府办基层医疗卫生机构中医类别医师占同类机构医师总数比例≥25%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乡镇卫生院和社区卫生服务中心中医馆覆盖率、中医药服务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率、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中医医师配备率达100%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；</w:t>
      </w:r>
    </w:p>
    <w:p>
      <w:pPr>
        <w:pStyle w:val="2"/>
        <w:spacing w:line="57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村卫生所达到服务能力基本标准的≥70%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提供中医药服务的占比≥80%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乡村医生队伍中执业（助理）医师占比≥45%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；</w:t>
      </w:r>
    </w:p>
    <w:p>
      <w:pPr>
        <w:pStyle w:val="2"/>
        <w:spacing w:line="570" w:lineRule="exac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乡镇卫生院、社区卫生服务中心与二三级医院建立对口帮扶关系的覆盖率达到100%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；</w:t>
      </w:r>
    </w:p>
    <w:p>
      <w:pPr>
        <w:pStyle w:val="2"/>
        <w:spacing w:line="570" w:lineRule="exac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县级公立医院床位数达到2.5张/千人口左右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；</w:t>
      </w:r>
    </w:p>
    <w:p>
      <w:pPr>
        <w:pStyle w:val="2"/>
        <w:spacing w:line="570" w:lineRule="exact"/>
        <w:rPr>
          <w:rFonts w:hint="eastAsia" w:ascii="仿宋_GB2312" w:hAnsi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7.全省所有县级综合医院均达到二甲及服务能力水平；</w:t>
      </w:r>
    </w:p>
    <w:p>
      <w:pPr>
        <w:pStyle w:val="2"/>
        <w:spacing w:line="570" w:lineRule="exact"/>
        <w:rPr>
          <w:rFonts w:hint="eastAsia" w:ascii="仿宋_GB2312" w:hAnsi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8.全省80%以上的县级中医医院达到二甲中医医院能力水平，30万人口以上的县域实现二甲以上中医医院全覆盖；</w:t>
      </w: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医联（共）体内成员单位力争30%以上的病房建成为联合病房。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二、分级诊疗成效指标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县域内就诊率≥90%，城乡参保人员的县域内住院量占比≥70%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；</w:t>
      </w:r>
    </w:p>
    <w:p>
      <w:pPr>
        <w:pStyle w:val="2"/>
        <w:spacing w:line="57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基层医疗卫生机构诊疗量占总诊疗量比例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65%，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其中基层中医诊疗量占基层医疗卫生机构诊疗量比例≥30%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；</w:t>
      </w:r>
    </w:p>
    <w:p>
      <w:pPr>
        <w:pStyle w:val="2"/>
        <w:spacing w:line="570" w:lineRule="exact"/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中心卫生院和社区医院首诊病种数≥80种，其他乡镇卫生院和社区卫生服务中心≥50种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.国家区域医疗中心和省级高水平医院的四级手术占比力争达到45%左右；</w:t>
      </w:r>
    </w:p>
    <w:p>
      <w:pPr>
        <w:pStyle w:val="2"/>
        <w:spacing w:line="570" w:lineRule="exact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二、三级公立医院向基层医疗卫生机构下转患者人数年均增长率≥10%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。</w:t>
      </w:r>
    </w:p>
    <w:p/>
    <w:sectPr>
      <w:pgSz w:w="11906" w:h="16838"/>
      <w:pgMar w:top="1814" w:right="1800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28163F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afterLines="0" w:afterAutospacing="0"/>
      <w:ind w:firstLine="880" w:firstLineChars="200"/>
      <w:jc w:val="both"/>
    </w:pPr>
    <w:rPr>
      <w:rFonts w:ascii="仿宋_GB2312" w:hAnsi="仿宋_GB2312" w:eastAsia="仿宋_GB2312" w:cs="Times New Roman"/>
      <w:kern w:val="2"/>
      <w:sz w:val="3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2022-07-12T08:50:40Z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F4A48C38E7C745078C083C08EC785305</vt:lpwstr>
  </property>
</Properties>
</file>