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18" w:rsidRDefault="00917A18" w:rsidP="00917A18">
      <w:pPr>
        <w:spacing w:line="640" w:lineRule="exact"/>
        <w:jc w:val="center"/>
        <w:outlineLvl w:val="0"/>
        <w:rPr>
          <w:rFonts w:ascii="Times New Roman" w:eastAsia="宋体" w:hAnsi="Times New Roman" w:cs="Times New Roman"/>
          <w:b/>
          <w:sz w:val="44"/>
          <w:szCs w:val="44"/>
        </w:rPr>
      </w:pPr>
      <w:bookmarkStart w:id="0" w:name="_Toc21023"/>
      <w:bookmarkStart w:id="1" w:name="_Toc4018"/>
      <w:bookmarkStart w:id="2" w:name="_Toc11414229"/>
      <w:r>
        <w:rPr>
          <w:rFonts w:ascii="Times New Roman" w:eastAsia="宋体" w:hAnsi="Times New Roman" w:cs="Times New Roman"/>
          <w:b/>
          <w:sz w:val="44"/>
          <w:szCs w:val="44"/>
        </w:rPr>
        <w:t>老年健康与</w:t>
      </w:r>
      <w:proofErr w:type="gramStart"/>
      <w:r>
        <w:rPr>
          <w:rFonts w:ascii="Times New Roman" w:eastAsia="宋体" w:hAnsi="Times New Roman" w:cs="Times New Roman"/>
          <w:b/>
          <w:sz w:val="44"/>
          <w:szCs w:val="44"/>
        </w:rPr>
        <w:t>医</w:t>
      </w:r>
      <w:proofErr w:type="gramEnd"/>
      <w:r>
        <w:rPr>
          <w:rFonts w:ascii="Times New Roman" w:eastAsia="宋体" w:hAnsi="Times New Roman" w:cs="Times New Roman"/>
          <w:b/>
          <w:sz w:val="44"/>
          <w:szCs w:val="44"/>
        </w:rPr>
        <w:t>养结合服务管理工作规范</w:t>
      </w:r>
      <w:bookmarkEnd w:id="0"/>
      <w:bookmarkEnd w:id="1"/>
    </w:p>
    <w:p w:rsidR="00917A18" w:rsidRDefault="00917A18" w:rsidP="00917A18">
      <w:pPr>
        <w:overflowPunct w:val="0"/>
        <w:spacing w:line="640" w:lineRule="exact"/>
        <w:ind w:firstLineChars="200" w:firstLine="602"/>
        <w:jc w:val="center"/>
        <w:rPr>
          <w:rFonts w:ascii="Times New Roman" w:eastAsia="楷体_GB2312" w:hAnsi="Times New Roman" w:cs="Times New Roman"/>
          <w:b/>
          <w:sz w:val="30"/>
          <w:szCs w:val="30"/>
        </w:rPr>
      </w:pP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一、项目目标</w:t>
      </w:r>
    </w:p>
    <w:p w:rsidR="00917A18" w:rsidRDefault="00917A18" w:rsidP="00917A18">
      <w:pPr>
        <w:widowControl/>
        <w:spacing w:line="580" w:lineRule="exact"/>
        <w:ind w:firstLine="64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（一）为全国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岁及以上老年人提供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养结合服务，提高老年人生活质量和健康水平。</w:t>
      </w:r>
    </w:p>
    <w:p w:rsidR="00917A18" w:rsidRDefault="00917A18" w:rsidP="00917A18">
      <w:pPr>
        <w:widowControl/>
        <w:spacing w:line="580" w:lineRule="exact"/>
        <w:ind w:firstLine="64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（二）为全国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岁及以上失能老年人开展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评估与健康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，改善失能老年人的生活质量。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二、项目对象和范围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（一）项目实施对象。</w:t>
      </w:r>
      <w:r>
        <w:rPr>
          <w:rFonts w:ascii="Times New Roman" w:eastAsia="仿宋_GB2312" w:hAnsi="Times New Roman" w:cs="Times New Roman"/>
          <w:sz w:val="30"/>
          <w:szCs w:val="30"/>
        </w:rPr>
        <w:t>全国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岁及以上老年人。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（二）项目实施范围。</w:t>
      </w:r>
      <w:r>
        <w:rPr>
          <w:rFonts w:ascii="Times New Roman" w:eastAsia="仿宋_GB2312" w:hAnsi="Times New Roman" w:cs="Times New Roman"/>
          <w:sz w:val="30"/>
          <w:szCs w:val="30"/>
        </w:rPr>
        <w:t>全国</w:t>
      </w:r>
      <w:r>
        <w:rPr>
          <w:rFonts w:ascii="Times New Roman" w:eastAsia="仿宋_GB2312" w:hAnsi="Times New Roman" w:cs="Times New Roman"/>
          <w:sz w:val="30"/>
          <w:szCs w:val="30"/>
        </w:rPr>
        <w:t>31</w:t>
      </w:r>
      <w:r>
        <w:rPr>
          <w:rFonts w:ascii="Times New Roman" w:eastAsia="仿宋_GB2312" w:hAnsi="Times New Roman" w:cs="Times New Roman"/>
          <w:sz w:val="30"/>
          <w:szCs w:val="30"/>
        </w:rPr>
        <w:t>个省（区、市）。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三、项目内容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（一）为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65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岁及以上老年人提供</w:t>
      </w:r>
      <w:proofErr w:type="gramStart"/>
      <w:r>
        <w:rPr>
          <w:rFonts w:ascii="Times New Roman" w:eastAsia="楷体_GB2312" w:hAnsi="Times New Roman" w:cs="Times New Roman"/>
          <w:bCs/>
          <w:sz w:val="30"/>
          <w:szCs w:val="30"/>
        </w:rPr>
        <w:t>医</w:t>
      </w:r>
      <w:proofErr w:type="gramEnd"/>
      <w:r>
        <w:rPr>
          <w:rFonts w:ascii="Times New Roman" w:eastAsia="楷体_GB2312" w:hAnsi="Times New Roman" w:cs="Times New Roman"/>
          <w:bCs/>
          <w:sz w:val="30"/>
          <w:szCs w:val="30"/>
        </w:rPr>
        <w:t>养结合服务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0"/>
          <w:szCs w:val="30"/>
        </w:rPr>
        <w:t>基层医疗卫生机构结合历次老年人健康体检结果，每年对辖区内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岁及以上居家养老的老年人进行两次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养结合服务，内容包含血压测量、末梢血血糖检测、康复指导、护理技能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指导</w:t>
      </w:r>
      <w:r>
        <w:rPr>
          <w:rFonts w:ascii="Times New Roman" w:eastAsia="仿宋_GB2312" w:hAnsi="Times New Roman" w:cs="Times New Roman"/>
          <w:sz w:val="30"/>
          <w:szCs w:val="30"/>
        </w:rPr>
        <w:t>、保健咨询、营养改善指导</w:t>
      </w:r>
      <w:r>
        <w:rPr>
          <w:rFonts w:ascii="Times New Roman" w:eastAsia="仿宋_GB2312" w:hAnsi="Times New Roman" w:cs="Times New Roman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sz w:val="30"/>
          <w:szCs w:val="30"/>
        </w:rPr>
        <w:t>个方面。对高龄、失能、行动不便的老年人上门进行服务。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（二）为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65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岁以上失能老年人提供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健康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评估与健康服务。</w:t>
      </w:r>
      <w:r>
        <w:rPr>
          <w:rFonts w:ascii="Times New Roman" w:eastAsia="仿宋_GB2312" w:hAnsi="Times New Roman" w:cs="Times New Roman"/>
          <w:sz w:val="30"/>
          <w:szCs w:val="30"/>
        </w:rPr>
        <w:t>基层医疗卫生机构从老年人能力（具体包括日常生活活动能力、精神状态与社会参与能力、感知觉与沟通能力）和老年综合征罹患等维度，每年对辖区内提出申请的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岁及以上失能老年人上门进行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评估，并对符合条件的失能老年人及照护者年内提供至少</w:t>
      </w: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次的健康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工作，健康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的具体内容包括康复护理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指</w:t>
      </w: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导</w:t>
      </w:r>
      <w:r>
        <w:rPr>
          <w:rFonts w:ascii="Times New Roman" w:eastAsia="仿宋_GB2312" w:hAnsi="Times New Roman" w:cs="Times New Roman"/>
          <w:sz w:val="30"/>
          <w:szCs w:val="30"/>
        </w:rPr>
        <w:t>、心理支持等。同时，基层医疗卫生机构将开展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评估与健康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的失能老年人信息录入信息系统，做好数据信息的及时更新、上报等工作。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四、项目组织实施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（一）组织机制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0"/>
          <w:szCs w:val="30"/>
        </w:rPr>
        <w:t>国家卫生健康委制定项目管理规范，对全国的项目服务实施情况进行监督，同时根据实际情况适时对规范进行修订；省级卫生健康行政部门结合当地实际情况，制定本地区的项目管理和服务规范，并对本地区的项目服务实施情况进行管理；县级卫生健康行政部门指导基层医疗卫生机构完成项目工作任务，对其进行考核，并接受上级卫生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行政</w:t>
      </w:r>
      <w:r>
        <w:rPr>
          <w:rFonts w:ascii="Times New Roman" w:eastAsia="仿宋_GB2312" w:hAnsi="Times New Roman" w:cs="Times New Roman"/>
          <w:sz w:val="30"/>
          <w:szCs w:val="30"/>
        </w:rPr>
        <w:t>部门的考核。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基层医疗卫生机构是承担服务任务的重要主体，对辖区内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岁及以上老年人提供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养结合与失能老年人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和健康</w:t>
      </w:r>
      <w:r>
        <w:rPr>
          <w:rFonts w:ascii="Times New Roman" w:eastAsia="仿宋_GB2312" w:hAnsi="Times New Roman" w:cs="Times New Roman"/>
          <w:sz w:val="30"/>
          <w:szCs w:val="30"/>
        </w:rPr>
        <w:t>服务，按照规定合理使用和管理经费，接受县级卫生健康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行政</w:t>
      </w:r>
      <w:r>
        <w:rPr>
          <w:rFonts w:ascii="Times New Roman" w:eastAsia="仿宋_GB2312" w:hAnsi="Times New Roman" w:cs="Times New Roman"/>
          <w:sz w:val="30"/>
          <w:szCs w:val="30"/>
        </w:rPr>
        <w:t>部门考核。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（二）项目实施条件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0"/>
          <w:szCs w:val="30"/>
        </w:rPr>
        <w:t>对老年人进行医养结合服务及对失能老年人进行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评估与健康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的基层医疗卫生机构人员，应是专业医护人员。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（三）项目经费保障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0"/>
          <w:szCs w:val="30"/>
        </w:rPr>
        <w:t>资金使用对象为基层医疗卫生机构，包含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岁及以上老年人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养结合服务经费、失能老年人上门评估与健康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经费。各地要严格执行相关规定，加强资金监管，并落实督导、培训等工作经费，保障项目顺利实施。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（四）信息化应用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0"/>
          <w:szCs w:val="30"/>
        </w:rPr>
        <w:t>将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岁及以上老年人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养结合服务信息纳入国家基本公共卫生服务管理平台，进行信息化管理。建立失能老年人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评估与健康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信息系统，录入失能老年人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评估服务信息。</w:t>
      </w:r>
    </w:p>
    <w:p w:rsidR="00917A18" w:rsidRDefault="00917A18" w:rsidP="00917A18">
      <w:pPr>
        <w:spacing w:line="580" w:lineRule="exact"/>
        <w:ind w:firstLineChars="200" w:firstLine="600"/>
        <w:rPr>
          <w:rFonts w:ascii="楷体_GB2312" w:eastAsia="楷体_GB2312" w:hAnsi="楷体_GB2312" w:cs="楷体_GB2312"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Cs/>
          <w:sz w:val="30"/>
          <w:szCs w:val="30"/>
        </w:rPr>
        <w:t>（五）其他要求。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sz w:val="30"/>
          <w:szCs w:val="30"/>
        </w:rPr>
        <w:t>要按照自愿的原则组织实施项目，项目实施过程中要充分尊重老年人的自主意愿，并注重与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岁以上老年人健康管理、家庭医生签约服务等工作的衔接，避免服务项目的重复。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2.</w:t>
      </w:r>
      <w:r>
        <w:rPr>
          <w:rFonts w:ascii="Times New Roman" w:eastAsia="仿宋_GB2312" w:hAnsi="Times New Roman" w:cs="Times New Roman"/>
          <w:sz w:val="30"/>
          <w:szCs w:val="30"/>
        </w:rPr>
        <w:t>支持指导一级及以上医疗卫生机构开设方便老年人挂号、就医等便利服务的绿色通道，设置老年人就诊服务处，配置明显标识，配备专兼职人员进行引导服务，配备轮椅等必需的转运工具，为老年人就医提供便利服务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3.</w:t>
      </w:r>
      <w:r>
        <w:rPr>
          <w:rFonts w:ascii="Times New Roman" w:eastAsia="仿宋_GB2312" w:hAnsi="Times New Roman" w:cs="Times New Roman"/>
          <w:sz w:val="30"/>
          <w:szCs w:val="30"/>
        </w:rPr>
        <w:t>要积极组织开展针对基层医疗卫生机构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养结合与失能老年人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人员及照护者的技能培训，不断提升基层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养结合与失能老年人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人员及照护者的服务水平。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五、项目考核指标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楷体_GB2312" w:hAnsi="Times New Roman" w:cs="Times New Roman"/>
          <w:b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（一）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65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岁及以上老年人</w:t>
      </w:r>
      <w:proofErr w:type="gramStart"/>
      <w:r>
        <w:rPr>
          <w:rFonts w:ascii="Times New Roman" w:eastAsia="楷体_GB2312" w:hAnsi="Times New Roman" w:cs="Times New Roman"/>
          <w:bCs/>
          <w:sz w:val="30"/>
          <w:szCs w:val="30"/>
        </w:rPr>
        <w:t>医</w:t>
      </w:r>
      <w:proofErr w:type="gramEnd"/>
      <w:r>
        <w:rPr>
          <w:rFonts w:ascii="Times New Roman" w:eastAsia="楷体_GB2312" w:hAnsi="Times New Roman" w:cs="Times New Roman"/>
          <w:bCs/>
          <w:sz w:val="30"/>
          <w:szCs w:val="30"/>
        </w:rPr>
        <w:t>养结合服务率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指标属性：数量指标。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指标定义：年内辖区内接受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养结合服务的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岁及以上老年人人数占辖区内老年人总数的比例。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测算公式：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岁及以上老年人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养结合服务率</w:t>
      </w:r>
      <w:r>
        <w:rPr>
          <w:rFonts w:ascii="Times New Roman" w:eastAsia="仿宋_GB2312" w:hAnsi="Times New Roman" w:cs="Times New Roman"/>
          <w:sz w:val="30"/>
          <w:szCs w:val="30"/>
        </w:rPr>
        <w:t>=</w:t>
      </w:r>
      <w:r>
        <w:rPr>
          <w:rFonts w:ascii="Times New Roman" w:eastAsia="仿宋_GB2312" w:hAnsi="Times New Roman" w:cs="Times New Roman"/>
          <w:sz w:val="30"/>
          <w:szCs w:val="30"/>
        </w:rPr>
        <w:t>年内辖区内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岁及以上老年人中接受两次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医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养结合服务的人数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辖区内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岁及以上老年人总数</w:t>
      </w:r>
      <w:r>
        <w:rPr>
          <w:rFonts w:ascii="Arial" w:eastAsia="仿宋_GB2312" w:hAnsi="Arial" w:cs="Arial"/>
          <w:sz w:val="30"/>
          <w:szCs w:val="30"/>
        </w:rPr>
        <w:t>×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100%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楷体_GB2312" w:hAnsi="Times New Roman" w:cs="Times New Roman"/>
          <w:b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（二）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65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岁以上失能老年人健康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服务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率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指标属性：数量指标。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指标定义：年内辖区内接受健康服务的失能老年人人数占辖区内接受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评估的</w:t>
      </w:r>
      <w:r>
        <w:rPr>
          <w:rFonts w:ascii="Times New Roman" w:eastAsia="仿宋_GB2312" w:hAnsi="Times New Roman" w:cs="Times New Roman"/>
          <w:sz w:val="30"/>
          <w:szCs w:val="30"/>
        </w:rPr>
        <w:t>65</w:t>
      </w:r>
      <w:r>
        <w:rPr>
          <w:rFonts w:ascii="Times New Roman" w:eastAsia="仿宋_GB2312" w:hAnsi="Times New Roman" w:cs="Times New Roman"/>
          <w:sz w:val="30"/>
          <w:szCs w:val="30"/>
        </w:rPr>
        <w:t>岁以上失能老年人总数的比例。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>测算公式：失能老年人健康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</w:t>
      </w:r>
      <w:r>
        <w:rPr>
          <w:rFonts w:ascii="Times New Roman" w:eastAsia="仿宋_GB2312" w:hAnsi="Times New Roman" w:cs="Times New Roman"/>
          <w:sz w:val="30"/>
          <w:szCs w:val="30"/>
        </w:rPr>
        <w:t>率</w:t>
      </w:r>
      <w:r>
        <w:rPr>
          <w:rFonts w:ascii="Times New Roman" w:eastAsia="仿宋_GB2312" w:hAnsi="Times New Roman" w:cs="Times New Roman"/>
          <w:sz w:val="30"/>
          <w:szCs w:val="30"/>
        </w:rPr>
        <w:t>=</w:t>
      </w:r>
      <w:r>
        <w:rPr>
          <w:rFonts w:ascii="Times New Roman" w:eastAsia="仿宋_GB2312" w:hAnsi="Times New Roman" w:cs="Times New Roman"/>
          <w:sz w:val="30"/>
          <w:szCs w:val="30"/>
        </w:rPr>
        <w:t>年内辖区内接受健康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服务的</w:t>
      </w:r>
      <w:r>
        <w:rPr>
          <w:rFonts w:ascii="Times New Roman" w:eastAsia="仿宋_GB2312" w:hAnsi="Times New Roman" w:cs="Times New Roman"/>
          <w:sz w:val="30"/>
          <w:szCs w:val="30"/>
        </w:rPr>
        <w:t>失能老年人人数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辖区内接受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健康</w:t>
      </w:r>
      <w:r>
        <w:rPr>
          <w:rFonts w:ascii="Times New Roman" w:eastAsia="仿宋_GB2312" w:hAnsi="Times New Roman" w:cs="Times New Roman"/>
          <w:sz w:val="30"/>
          <w:szCs w:val="30"/>
        </w:rPr>
        <w:t>评估的失能老年人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</w:t>
      </w:r>
      <w:r>
        <w:rPr>
          <w:rFonts w:ascii="Times New Roman" w:eastAsia="仿宋_GB2312" w:hAnsi="Times New Roman" w:cs="Times New Roman"/>
          <w:sz w:val="30"/>
          <w:szCs w:val="30"/>
        </w:rPr>
        <w:t>数</w:t>
      </w:r>
      <w:r>
        <w:rPr>
          <w:rFonts w:ascii="Arial" w:eastAsia="仿宋_GB2312" w:hAnsi="Arial" w:cs="Arial"/>
          <w:sz w:val="30"/>
          <w:szCs w:val="30"/>
        </w:rPr>
        <w:t>×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100%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六、项目考核与评估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（一）考核对象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0"/>
          <w:szCs w:val="30"/>
        </w:rPr>
        <w:t>省级、地市级考核的对象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为</w:t>
      </w:r>
      <w:r>
        <w:rPr>
          <w:rFonts w:ascii="Times New Roman" w:eastAsia="仿宋_GB2312" w:hAnsi="Times New Roman" w:cs="Times New Roman"/>
          <w:sz w:val="30"/>
          <w:szCs w:val="30"/>
        </w:rPr>
        <w:t>辖区各级卫生健康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行政</w:t>
      </w:r>
      <w:r>
        <w:rPr>
          <w:rFonts w:ascii="Times New Roman" w:eastAsia="仿宋_GB2312" w:hAnsi="Times New Roman" w:cs="Times New Roman"/>
          <w:sz w:val="30"/>
          <w:szCs w:val="30"/>
        </w:rPr>
        <w:t>部门。县级考核的对象主要包括县级卫生健康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行政</w:t>
      </w:r>
      <w:r>
        <w:rPr>
          <w:rFonts w:ascii="Times New Roman" w:eastAsia="仿宋_GB2312" w:hAnsi="Times New Roman" w:cs="Times New Roman"/>
          <w:sz w:val="30"/>
          <w:szCs w:val="30"/>
        </w:rPr>
        <w:t>部门、基层医疗卫生机构。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楷体_GB2312" w:hAnsi="Times New Roman" w:cs="Times New Roman"/>
          <w:b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（二）考核内容</w:t>
      </w:r>
      <w:r>
        <w:rPr>
          <w:rFonts w:ascii="Times New Roman" w:eastAsia="楷体_GB2312" w:hAnsi="Times New Roman" w:cs="Times New Roman" w:hint="eastAsia"/>
          <w:bCs/>
          <w:sz w:val="30"/>
          <w:szCs w:val="30"/>
        </w:rPr>
        <w:t>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1.</w:t>
      </w:r>
      <w:r>
        <w:rPr>
          <w:rFonts w:ascii="楷体_GB2312" w:eastAsia="楷体_GB2312" w:hAnsi="楷体_GB2312" w:cs="楷体_GB2312" w:hint="eastAsia"/>
          <w:sz w:val="30"/>
          <w:szCs w:val="30"/>
        </w:rPr>
        <w:t>项目组织管理情况。</w:t>
      </w:r>
      <w:r>
        <w:rPr>
          <w:rFonts w:ascii="Times New Roman" w:eastAsia="仿宋_GB2312" w:hAnsi="Times New Roman" w:cs="Times New Roman"/>
          <w:sz w:val="30"/>
          <w:szCs w:val="30"/>
        </w:rPr>
        <w:t>主要包括对项目的重视程度、组织协调力度、管理制度的制定与落实等。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2.</w:t>
      </w:r>
      <w:r>
        <w:rPr>
          <w:rFonts w:ascii="楷体_GB2312" w:eastAsia="楷体_GB2312" w:hAnsi="楷体_GB2312" w:cs="楷体_GB2312" w:hint="eastAsia"/>
          <w:sz w:val="30"/>
          <w:szCs w:val="30"/>
        </w:rPr>
        <w:t>项目资金管理情况。</w:t>
      </w:r>
      <w:r>
        <w:rPr>
          <w:rFonts w:ascii="Times New Roman" w:eastAsia="仿宋_GB2312" w:hAnsi="Times New Roman" w:cs="Times New Roman"/>
          <w:sz w:val="30"/>
          <w:szCs w:val="30"/>
        </w:rPr>
        <w:t>主要包括各级卫生健康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行政</w:t>
      </w:r>
      <w:r>
        <w:rPr>
          <w:rFonts w:ascii="Times New Roman" w:eastAsia="仿宋_GB2312" w:hAnsi="Times New Roman" w:cs="Times New Roman"/>
          <w:sz w:val="30"/>
          <w:szCs w:val="30"/>
        </w:rPr>
        <w:t>部门补助资金拨付、工作经费安排等情况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基层医疗卫生机构的预算执行、财务管理等情况。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3.</w:t>
      </w:r>
      <w:r>
        <w:rPr>
          <w:rFonts w:ascii="楷体_GB2312" w:eastAsia="楷体_GB2312" w:hAnsi="楷体_GB2312" w:cs="楷体_GB2312" w:hint="eastAsia"/>
          <w:sz w:val="30"/>
          <w:szCs w:val="30"/>
        </w:rPr>
        <w:t>各项工作任务完成情况。</w:t>
      </w:r>
      <w:r>
        <w:rPr>
          <w:rFonts w:ascii="Times New Roman" w:eastAsia="仿宋_GB2312" w:hAnsi="Times New Roman" w:cs="Times New Roman"/>
          <w:sz w:val="30"/>
          <w:szCs w:val="30"/>
        </w:rPr>
        <w:t>主要包括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项指标的完成数量。</w:t>
      </w:r>
    </w:p>
    <w:p w:rsidR="00917A18" w:rsidRDefault="00917A18" w:rsidP="00917A18">
      <w:pPr>
        <w:spacing w:line="58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（三）考核办法。</w:t>
      </w:r>
      <w:r>
        <w:rPr>
          <w:rFonts w:ascii="Times New Roman" w:eastAsia="仿宋_GB2312" w:hAnsi="Times New Roman" w:cs="Times New Roman"/>
          <w:sz w:val="30"/>
          <w:szCs w:val="30"/>
        </w:rPr>
        <w:t>考核一般采取听取汇报、查阅资料、现场核查、问卷调查、电话调查、入户访谈等形式进行。电话调查可委托第三方开展，也可以根据实际情况，由考核组同步实施。</w:t>
      </w:r>
      <w:bookmarkEnd w:id="2"/>
    </w:p>
    <w:p w:rsidR="004B6A2B" w:rsidRDefault="00917A18" w:rsidP="00917A18">
      <w:r>
        <w:rPr>
          <w:rFonts w:ascii="Times New Roman" w:eastAsia="仿宋_GB2312" w:hAnsi="Times New Roman" w:cs="Times New Roman" w:hint="eastAsia"/>
          <w:sz w:val="30"/>
          <w:szCs w:val="30"/>
        </w:rPr>
        <w:t>（联系人：老龄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司健康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服务处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李雪婷、曹群，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62030609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62030676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sectPr w:rsidR="004B6A2B" w:rsidSect="004B6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7A18"/>
    <w:rsid w:val="004B6A2B"/>
    <w:rsid w:val="0091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2019-09-11T00:56:00Z</dcterms:created>
  <dcterms:modified xsi:type="dcterms:W3CDTF">2019-09-11T00:56:00Z</dcterms:modified>
</cp:coreProperties>
</file>