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报名条件</w:t>
      </w:r>
    </w:p>
    <w:bookmarkEnd w:id="0"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40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健康管理师（三级）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应具备以下条件之一：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具有医药卫生专业大学专科以上学历证书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具有非医药卫生专业大学专科以上学历证书，连续从事本职业或相关职业工作2年以上，经三级健康管理师正规培训达规定标准学时数，并取得结业证书。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具有医药卫生专业中等专科以上学历证书，连续从事本职业或相关职业工作3年以上，经三级健康管理师正规培训达规定标准学时数，并取得结业证书。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口腔修复体制作工（三级）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应具备以下条件之一：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取得本职业中级职业资格证书后，连续从事本职业工作 4年以上，经本职业高级正规培训达规定标准学时。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取得本职业中级职业资格证书后，连续从事本职业工作 7年以上。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取得高级技工学校或经劳动保障行政部门审核认定的、以高级技能为培养目标的高等职业学校本职业（专业）毕业证书。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取得本职业中级职业资格证书的大专以上本专业或相关 专业毕业生，连续从事本职业工作2年以上。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口腔修复体制作工 （四级）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应具备以下条件之一：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取得本职业初级职业资格证书后，连续从事本职业工作 3年以上，经本职业中级正规培训达规定标准学时数，并取得结 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取得本职业初级职业资格证书后，连续从事本职业工作 5年以上。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连续从事本职业工作7年以上。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取得经劳动保障行政部门审核认定的、以中级技能为培养目标的中等以上职业学校本职业（专业）毕业证书。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right="0" w:rightChars="0" w:firstLine="631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23034"/>
    <w:rsid w:val="15B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2020-08-17T07:58:00Z</dcterms:created>
  <dc:creator>张艺杰</dc:creator>
  <cp:lastModifiedBy>张艺杰</cp:lastModifiedBy>
  <dcterms:modified xsi:type="dcterms:W3CDTF">2020-08-17T07:59:21Z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