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仿宋_GB2312" w:cs="Times New Roman"/>
          <w:kern w:val="2"/>
          <w:szCs w:val="24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福建省2018年基层卫生技术人员</w:t>
      </w:r>
    </w:p>
    <w:p>
      <w:pPr>
        <w:spacing w:line="240" w:lineRule="auto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中医药知识与技能培训项目实施方案</w:t>
      </w:r>
    </w:p>
    <w:p>
      <w:pPr>
        <w:spacing w:line="590" w:lineRule="exact"/>
        <w:ind w:firstLine="0" w:firstLineChars="0"/>
        <w:rPr>
          <w:rFonts w:ascii="Times New Roman" w:hAnsi="Times New Roman" w:eastAsia="仿宋_GB2312"/>
          <w:szCs w:val="24"/>
        </w:rPr>
      </w:pPr>
    </w:p>
    <w:p>
      <w:pPr>
        <w:spacing w:line="59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Cs w:val="24"/>
        </w:rPr>
      </w:pPr>
      <w:r>
        <w:rPr>
          <w:rFonts w:hint="eastAsia" w:ascii="Times New Roman" w:hAnsi="Times New Roman" w:eastAsia="仿宋_GB2312" w:cs="Times New Roman"/>
          <w:szCs w:val="24"/>
        </w:rPr>
        <w:t>根据《2018年基层卫生技术人员中医药知识与技能培训项目实施方案》（</w:t>
      </w:r>
      <w:r>
        <w:rPr>
          <w:rFonts w:hint="eastAsia" w:ascii="Times New Roman" w:hAnsi="Times New Roman" w:eastAsia="仿宋_GB2312" w:cs="Times New Roman"/>
          <w:kern w:val="2"/>
          <w:szCs w:val="24"/>
        </w:rPr>
        <w:t>国中医药人教教育便函〔2018〕122号</w:t>
      </w:r>
      <w:r>
        <w:rPr>
          <w:rFonts w:hint="eastAsia" w:ascii="Times New Roman" w:hAnsi="Times New Roman" w:eastAsia="仿宋_GB2312" w:cs="Times New Roman"/>
          <w:szCs w:val="24"/>
        </w:rPr>
        <w:t>），为进一步提高基层中医药诊治水平和服务能力，我省将组织开展基层卫生技术人员中医药知识与技能培训项目</w:t>
      </w:r>
      <w:r>
        <w:rPr>
          <w:rFonts w:hint="eastAsia" w:ascii="Times New Roman" w:hAnsi="Times New Roman" w:eastAsia="仿宋_GB2312" w:cs="Times New Roman"/>
          <w:kern w:val="2"/>
          <w:szCs w:val="24"/>
        </w:rPr>
        <w:t>，该项目作为乡村医生规范培训的一部分同时进行。为推进项目实施，现制定本实施细则。</w:t>
      </w:r>
    </w:p>
    <w:p>
      <w:pPr>
        <w:widowControl w:val="0"/>
        <w:spacing w:line="590" w:lineRule="exact"/>
        <w:ind w:firstLine="640" w:firstLineChars="200"/>
        <w:jc w:val="both"/>
        <w:rPr>
          <w:rFonts w:hint="eastAsia" w:ascii="Times New Roman" w:hAnsi="Times New Roman" w:eastAsia="黑体" w:cs="Times New Roman"/>
          <w:b w:val="0"/>
          <w:bCs w:val="0"/>
          <w:kern w:val="2"/>
          <w:szCs w:val="24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2"/>
          <w:szCs w:val="24"/>
        </w:rPr>
        <w:t>一、培训目标</w:t>
      </w:r>
    </w:p>
    <w:p>
      <w:pPr>
        <w:widowControl w:val="0"/>
        <w:spacing w:line="59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Cs w:val="24"/>
        </w:rPr>
      </w:pPr>
      <w:r>
        <w:rPr>
          <w:rFonts w:hint="eastAsia" w:ascii="Times New Roman" w:hAnsi="Times New Roman" w:eastAsia="仿宋_GB2312" w:cs="Times New Roman"/>
          <w:kern w:val="2"/>
          <w:szCs w:val="24"/>
        </w:rPr>
        <w:t>以胜任岗位工作为基本目标，通过开展中医药知识与技能培训，规范和提高基层卫生技术人员运用中医药诊疗知识、技术方法防治常见病和多发病的基本技能，发挥中医药特色优势，结合乡村医生规范培训，更好地满足城乡居民对中医药服务的需求。</w:t>
      </w:r>
    </w:p>
    <w:p>
      <w:pPr>
        <w:widowControl w:val="0"/>
        <w:spacing w:line="590" w:lineRule="exact"/>
        <w:ind w:firstLine="640" w:firstLineChars="200"/>
        <w:jc w:val="both"/>
        <w:rPr>
          <w:rFonts w:hint="eastAsia" w:ascii="Times New Roman" w:hAnsi="Times New Roman" w:eastAsia="黑体" w:cs="Times New Roman"/>
          <w:kern w:val="2"/>
          <w:szCs w:val="24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2"/>
          <w:szCs w:val="24"/>
        </w:rPr>
        <w:t>二、培训对象</w:t>
      </w:r>
    </w:p>
    <w:p>
      <w:pPr>
        <w:widowControl w:val="0"/>
        <w:spacing w:line="59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kern w:val="2"/>
          <w:szCs w:val="24"/>
        </w:rPr>
      </w:pPr>
      <w:r>
        <w:rPr>
          <w:rFonts w:hint="eastAsia" w:ascii="Times New Roman" w:hAnsi="Times New Roman" w:eastAsia="仿宋_GB2312" w:cs="Times New Roman"/>
          <w:kern w:val="2"/>
          <w:szCs w:val="24"/>
        </w:rPr>
        <w:t>依法取得省级卫生行政部门颁发的乡村医生执业证书、或具备执业（助理）医师资格，经县级卫生行政主管部门注册后在村卫生所执业的乡村医生。</w:t>
      </w:r>
    </w:p>
    <w:p>
      <w:pPr>
        <w:widowControl w:val="0"/>
        <w:spacing w:line="590" w:lineRule="exact"/>
        <w:ind w:firstLine="640" w:firstLineChars="200"/>
        <w:jc w:val="both"/>
        <w:rPr>
          <w:rFonts w:hint="eastAsia" w:ascii="Times New Roman" w:hAnsi="Times New Roman" w:eastAsia="黑体" w:cs="Times New Roman"/>
          <w:b w:val="0"/>
          <w:bCs w:val="0"/>
          <w:kern w:val="2"/>
          <w:szCs w:val="24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2"/>
          <w:szCs w:val="24"/>
        </w:rPr>
        <w:t>三、培训内容</w:t>
      </w:r>
    </w:p>
    <w:p>
      <w:pPr>
        <w:widowControl w:val="0"/>
        <w:spacing w:line="590" w:lineRule="exact"/>
        <w:ind w:firstLine="643" w:firstLineChars="200"/>
        <w:jc w:val="both"/>
        <w:rPr>
          <w:rFonts w:hint="eastAsia" w:ascii="Times New Roman" w:hAnsi="Times New Roman" w:eastAsia="仿宋_GB2312" w:cs="Times New Roman"/>
          <w:szCs w:val="24"/>
        </w:rPr>
      </w:pPr>
      <w:r>
        <w:rPr>
          <w:rFonts w:hint="eastAsia" w:ascii="Times New Roman" w:hAnsi="Times New Roman" w:eastAsia="楷体_GB2312" w:cs="Times New Roman"/>
          <w:b/>
          <w:bCs w:val="0"/>
          <w:kern w:val="2"/>
          <w:szCs w:val="24"/>
        </w:rPr>
        <w:t>（一）培训方式。</w:t>
      </w:r>
      <w:r>
        <w:rPr>
          <w:rFonts w:hint="eastAsia" w:ascii="Times New Roman" w:hAnsi="Times New Roman" w:eastAsia="仿宋_GB2312" w:cs="Times New Roman"/>
          <w:szCs w:val="24"/>
        </w:rPr>
        <w:t>培训采用理论授课、技能训练和临床跟班学习相结合的方式进行。其中理论授课以远程视频教学</w:t>
      </w:r>
      <w:r>
        <w:rPr>
          <w:rFonts w:hint="eastAsia" w:ascii="Times New Roman" w:hAnsi="Times New Roman" w:eastAsia="仿宋_GB2312"/>
        </w:rPr>
        <w:t>（网址http://fjxy.91huayi.com）福建省乡村医生规范培训平台</w:t>
      </w:r>
      <w:r>
        <w:rPr>
          <w:rFonts w:hint="eastAsia" w:ascii="Times New Roman" w:hAnsi="Times New Roman" w:eastAsia="仿宋_GB2312" w:cs="Times New Roman"/>
          <w:szCs w:val="24"/>
        </w:rPr>
        <w:t>和学员自学为主，集中面授为辅。</w:t>
      </w:r>
    </w:p>
    <w:p>
      <w:pPr>
        <w:spacing w:line="59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Cs w:val="24"/>
        </w:rPr>
      </w:pPr>
      <w:r>
        <w:rPr>
          <w:rFonts w:hint="eastAsia" w:ascii="Times New Roman" w:hAnsi="Times New Roman" w:eastAsia="仿宋_GB2312" w:cs="Times New Roman"/>
          <w:kern w:val="2"/>
          <w:szCs w:val="24"/>
        </w:rPr>
        <w:t>远程视频教学按照“按需施教、过程监管、讲求实效”的原则，由乡村医生自选相应的课件进行学习。集中面授、</w:t>
      </w:r>
      <w:r>
        <w:rPr>
          <w:rFonts w:hint="eastAsia" w:ascii="Times New Roman" w:hAnsi="Times New Roman" w:eastAsia="仿宋_GB2312" w:cs="Times New Roman"/>
          <w:szCs w:val="24"/>
        </w:rPr>
        <w:t>技能训练</w:t>
      </w:r>
      <w:r>
        <w:rPr>
          <w:rFonts w:hint="eastAsia" w:ascii="Times New Roman" w:hAnsi="Times New Roman" w:eastAsia="仿宋_GB2312" w:cs="Times New Roman"/>
          <w:kern w:val="2"/>
          <w:szCs w:val="24"/>
        </w:rPr>
        <w:t>和</w:t>
      </w:r>
      <w:r>
        <w:rPr>
          <w:rFonts w:hint="eastAsia" w:ascii="Times New Roman" w:hAnsi="Times New Roman" w:eastAsia="仿宋_GB2312" w:cs="Times New Roman"/>
          <w:szCs w:val="24"/>
        </w:rPr>
        <w:t>临床跟班学习分别</w:t>
      </w:r>
      <w:r>
        <w:rPr>
          <w:rFonts w:hint="eastAsia" w:ascii="Times New Roman" w:hAnsi="Times New Roman" w:eastAsia="仿宋_GB2312" w:cs="Times New Roman"/>
          <w:kern w:val="2"/>
          <w:szCs w:val="24"/>
        </w:rPr>
        <w:t>由市、县（市、区）卫生行政主管部门指定的乡村医生规范培训分中心（培训点）和具备条件的乡镇卫生院（社区卫生服务中心）承担。</w:t>
      </w:r>
    </w:p>
    <w:p>
      <w:pPr>
        <w:spacing w:line="590" w:lineRule="exact"/>
        <w:ind w:firstLine="643" w:firstLineChars="200"/>
        <w:rPr>
          <w:rFonts w:hint="eastAsia" w:ascii="Times New Roman" w:hAnsi="Times New Roman" w:eastAsia="仿宋_GB2312" w:cs="Times New Roman"/>
          <w:szCs w:val="24"/>
        </w:rPr>
      </w:pPr>
      <w:r>
        <w:rPr>
          <w:rFonts w:hint="eastAsia" w:ascii="Times New Roman" w:hAnsi="Times New Roman" w:eastAsia="楷体_GB2312" w:cs="Times New Roman"/>
          <w:b/>
          <w:bCs w:val="0"/>
          <w:kern w:val="2"/>
          <w:szCs w:val="24"/>
        </w:rPr>
        <w:t>（二）培训大纲。</w:t>
      </w:r>
      <w:r>
        <w:rPr>
          <w:rFonts w:hint="eastAsia" w:ascii="Times New Roman" w:hAnsi="Times New Roman" w:eastAsia="仿宋_GB2312" w:cs="Times New Roman"/>
          <w:szCs w:val="24"/>
        </w:rPr>
        <w:t>参照</w:t>
      </w:r>
      <w:r>
        <w:rPr>
          <w:rFonts w:hint="eastAsia" w:ascii="Times New Roman" w:hAnsi="Times New Roman" w:eastAsia="仿宋_GB2312" w:cs="Times New Roman"/>
          <w:kern w:val="2"/>
          <w:szCs w:val="24"/>
        </w:rPr>
        <w:t>《乡村医生中医药知识与技能基本要求》（国中医药发〔2006〕15号）、《乡村医生中医药知识与技能培训大纲》（国中医药发〔2006〕40号）要求，以基础知识、基本理论、基本技术和方法为重点，以我省基层卫生技术人员的实际需求为导向，确定相应的培训内容。</w:t>
      </w:r>
      <w:r>
        <w:rPr>
          <w:rFonts w:hint="eastAsia" w:ascii="Times New Roman" w:hAnsi="Times New Roman" w:eastAsia="仿宋_GB2312" w:cs="Times New Roman"/>
          <w:szCs w:val="24"/>
        </w:rPr>
        <w:t>培训内容主要包括理论和技能培训两个部分。理论培训内容包括</w:t>
      </w:r>
      <w:r>
        <w:rPr>
          <w:rFonts w:hint="eastAsia" w:ascii="Times New Roman" w:hAnsi="Times New Roman" w:eastAsia="仿宋_GB2312" w:cs="Times New Roman"/>
          <w:kern w:val="2"/>
          <w:szCs w:val="24"/>
        </w:rPr>
        <w:t>常见病、多发病中医药防治，</w:t>
      </w:r>
      <w:r>
        <w:rPr>
          <w:rFonts w:hint="eastAsia" w:ascii="Times New Roman" w:hAnsi="Times New Roman" w:eastAsia="仿宋_GB2312" w:cs="Times New Roman"/>
          <w:szCs w:val="24"/>
        </w:rPr>
        <w:t>技术规范，中医中药相关知识等。技能培训内容包括中医药适宜技术、常见慢性病中医药防治和健康管理等。</w:t>
      </w:r>
    </w:p>
    <w:p>
      <w:pPr>
        <w:widowControl w:val="0"/>
        <w:spacing w:line="590" w:lineRule="exact"/>
        <w:ind w:firstLine="643" w:firstLineChars="200"/>
        <w:jc w:val="both"/>
        <w:rPr>
          <w:rFonts w:hint="eastAsia" w:ascii="Times New Roman" w:hAnsi="Times New Roman" w:eastAsia="仿宋_GB2312" w:cs="Times New Roman"/>
          <w:kern w:val="2"/>
          <w:szCs w:val="24"/>
        </w:rPr>
      </w:pPr>
      <w:r>
        <w:rPr>
          <w:rFonts w:hint="eastAsia" w:ascii="Times New Roman" w:hAnsi="Times New Roman" w:eastAsia="楷体_GB2312" w:cs="Times New Roman"/>
          <w:b/>
          <w:bCs w:val="0"/>
          <w:kern w:val="2"/>
          <w:szCs w:val="24"/>
        </w:rPr>
        <w:t>（三）培训时间。</w:t>
      </w:r>
      <w:r>
        <w:rPr>
          <w:rFonts w:hint="eastAsia" w:ascii="Times New Roman" w:hAnsi="Times New Roman" w:eastAsia="仿宋_GB2312" w:cs="Times New Roman"/>
          <w:szCs w:val="24"/>
        </w:rPr>
        <w:t>每年</w:t>
      </w:r>
      <w:r>
        <w:rPr>
          <w:rFonts w:hint="eastAsia" w:ascii="Times New Roman" w:hAnsi="Times New Roman" w:eastAsia="仿宋_GB2312" w:cs="Times New Roman"/>
          <w:kern w:val="2"/>
          <w:szCs w:val="24"/>
        </w:rPr>
        <w:t>远程视频学习、集中理论面授辅导、实践技能指导、临床跟班学习时间累计不少于15个工作日（可分段进行），上述各项培训及技能考核、理论考试于每年11月中旬完成。</w:t>
      </w:r>
    </w:p>
    <w:p>
      <w:pPr>
        <w:spacing w:line="590" w:lineRule="exact"/>
        <w:ind w:firstLine="643" w:firstLineChars="200"/>
        <w:rPr>
          <w:rFonts w:hint="eastAsia" w:ascii="Times New Roman" w:hAnsi="Times New Roman" w:eastAsia="仿宋_GB2312" w:cs="Times New Roman"/>
          <w:szCs w:val="24"/>
        </w:rPr>
      </w:pPr>
      <w:r>
        <w:rPr>
          <w:rFonts w:hint="eastAsia" w:ascii="Times New Roman" w:hAnsi="Times New Roman" w:eastAsia="楷体_GB2312" w:cs="Times New Roman"/>
          <w:b/>
          <w:bCs w:val="0"/>
          <w:kern w:val="2"/>
          <w:szCs w:val="24"/>
        </w:rPr>
        <w:t>（四）培训考核。</w:t>
      </w:r>
      <w:r>
        <w:rPr>
          <w:rFonts w:hint="eastAsia" w:ascii="Times New Roman" w:hAnsi="Times New Roman" w:eastAsia="仿宋_GB2312" w:cs="Times New Roman"/>
          <w:szCs w:val="24"/>
        </w:rPr>
        <w:t>作为乡村医生规范培训考试的部分内容进行考核，包括技能考核和理论考试两部分。技能考核由县（市、区）卫生行政主管部门负责组织进行，技能考核评分标准由省卫生计生委委托相关专家统一制定；理论考试由省卫生计生委委托省乡村医生培训中心组织，通过乡村医生规范培训信息化管理平台在网上进行。55周岁及以上（女性50周岁及以上）乡村医生理论</w:t>
      </w:r>
      <w:r>
        <w:rPr>
          <w:rFonts w:hint="eastAsia" w:ascii="Times New Roman" w:hAnsi="Times New Roman" w:eastAsia="仿宋_GB2312" w:cs="Times New Roman"/>
          <w:szCs w:val="24"/>
          <w:shd w:val="clear" w:color="auto" w:fill="auto"/>
        </w:rPr>
        <w:t>考试时间可适当延长</w:t>
      </w:r>
      <w:r>
        <w:rPr>
          <w:rFonts w:hint="eastAsia" w:ascii="Times New Roman" w:hAnsi="Times New Roman" w:eastAsia="仿宋_GB2312" w:cs="Times New Roman"/>
          <w:szCs w:val="24"/>
        </w:rPr>
        <w:t>。</w:t>
      </w:r>
    </w:p>
    <w:p>
      <w:pPr>
        <w:widowControl w:val="0"/>
        <w:spacing w:line="590" w:lineRule="exact"/>
        <w:ind w:firstLine="640" w:firstLineChars="200"/>
        <w:jc w:val="both"/>
        <w:rPr>
          <w:rFonts w:hint="eastAsia" w:ascii="Times New Roman" w:hAnsi="Times New Roman" w:eastAsia="黑体" w:cs="Times New Roman"/>
          <w:b w:val="0"/>
          <w:bCs w:val="0"/>
          <w:kern w:val="2"/>
          <w:szCs w:val="24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2"/>
          <w:szCs w:val="24"/>
        </w:rPr>
        <w:t>四、培训经费</w:t>
      </w:r>
    </w:p>
    <w:p>
      <w:pPr>
        <w:widowControl w:val="0"/>
        <w:spacing w:line="59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kern w:val="2"/>
          <w:szCs w:val="24"/>
        </w:rPr>
      </w:pPr>
      <w:r>
        <w:rPr>
          <w:rFonts w:hint="eastAsia" w:ascii="Times New Roman" w:hAnsi="Times New Roman" w:eastAsia="仿宋_GB2312" w:cs="Times New Roman"/>
          <w:kern w:val="2"/>
          <w:szCs w:val="24"/>
        </w:rPr>
        <w:t>培训经费在省财政每年安排用于全省乡村医生规范培训中支出。市、县（市、区）财政可安排一定的配套经费支持乡村医生规范培训工作。各级卫生行政部门、培训机构要确保资金专款专用合理使用，不得挤占和挪用。</w:t>
      </w:r>
    </w:p>
    <w:p>
      <w:pPr>
        <w:spacing w:line="590" w:lineRule="exact"/>
        <w:ind w:firstLine="640" w:firstLineChars="200"/>
        <w:rPr>
          <w:rFonts w:hint="eastAsia" w:ascii="Times New Roman" w:hAnsi="Times New Roman" w:eastAsia="黑体" w:cs="Times New Roman"/>
          <w:kern w:val="2"/>
          <w:szCs w:val="24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2"/>
          <w:szCs w:val="24"/>
        </w:rPr>
        <w:t>五、组织实施</w:t>
      </w:r>
    </w:p>
    <w:p>
      <w:pPr>
        <w:spacing w:line="590" w:lineRule="exact"/>
        <w:ind w:firstLine="640" w:firstLineChars="200"/>
        <w:rPr>
          <w:rFonts w:hint="eastAsia" w:ascii="Times New Roman" w:hAnsi="Times New Roman" w:eastAsia="仿宋_GB2312" w:cs="Times New Roman"/>
          <w:szCs w:val="24"/>
        </w:rPr>
      </w:pPr>
      <w:r>
        <w:rPr>
          <w:rFonts w:hint="eastAsia" w:ascii="Times New Roman" w:hAnsi="Times New Roman" w:eastAsia="仿宋_GB2312" w:cs="Times New Roman"/>
          <w:szCs w:val="24"/>
        </w:rPr>
        <w:t>依托省卫生计生委遴选的省乡村医生培训中心开展培训。委托省乡村医生培训中心负责培训师资，制定培训大纲和技能考核评分标准、组织编写教材、委托制作视频课件、组织理论考试、发放培训结业证等。</w:t>
      </w:r>
    </w:p>
    <w:p>
      <w:pPr>
        <w:widowControl w:val="0"/>
        <w:spacing w:line="59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Cs w:val="24"/>
        </w:rPr>
      </w:pPr>
      <w:r>
        <w:rPr>
          <w:rFonts w:hint="eastAsia" w:ascii="Times New Roman" w:hAnsi="Times New Roman" w:eastAsia="仿宋_GB2312" w:cs="Times New Roman"/>
          <w:szCs w:val="24"/>
        </w:rPr>
        <w:t>加强教学点与承担临床班的乡镇卫生院（社区卫生服务中心）的教学管理。确保理论培训、实践教学质量。</w:t>
      </w:r>
    </w:p>
    <w:p>
      <w:pPr>
        <w:widowControl w:val="0"/>
        <w:spacing w:line="59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Cs w:val="24"/>
        </w:rPr>
      </w:pPr>
    </w:p>
    <w:p>
      <w:pPr>
        <w:widowControl w:val="0"/>
        <w:spacing w:line="59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Cs w:val="24"/>
        </w:rPr>
      </w:pPr>
    </w:p>
    <w:p>
      <w:pPr>
        <w:widowControl w:val="0"/>
        <w:spacing w:line="59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Cs w:val="24"/>
        </w:rPr>
      </w:pPr>
    </w:p>
    <w:p>
      <w:pPr>
        <w:widowControl w:val="0"/>
        <w:spacing w:line="59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Cs w:val="24"/>
        </w:rPr>
      </w:pPr>
    </w:p>
    <w:p>
      <w:pPr>
        <w:widowControl w:val="0"/>
        <w:spacing w:line="590" w:lineRule="exact"/>
        <w:ind w:firstLine="640" w:firstLineChars="200"/>
        <w:jc w:val="both"/>
        <w:rPr>
          <w:rFonts w:hint="eastAsia" w:ascii="Times New Roman" w:hAnsi="Times New Roman" w:eastAsia="仿宋_GB2312"/>
        </w:rPr>
      </w:pPr>
    </w:p>
    <w:p>
      <w:pPr>
        <w:widowControl w:val="0"/>
        <w:spacing w:line="590" w:lineRule="exact"/>
        <w:ind w:firstLine="640" w:firstLineChars="200"/>
        <w:jc w:val="both"/>
        <w:rPr>
          <w:rFonts w:hint="eastAsia" w:ascii="Times New Roman" w:hAnsi="Times New Roman" w:eastAsia="仿宋_GB2312"/>
        </w:rPr>
      </w:pPr>
    </w:p>
    <w:p>
      <w:pPr>
        <w:widowControl w:val="0"/>
        <w:spacing w:line="59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Cs w:val="24"/>
        </w:rPr>
      </w:pPr>
    </w:p>
    <w:p>
      <w:pPr>
        <w:spacing w:line="590" w:lineRule="exact"/>
        <w:rPr>
          <w:rFonts w:hint="eastAsia" w:ascii="Times New Roman" w:hAnsi="Times New Roman" w:eastAsia="黑体"/>
        </w:rPr>
      </w:pPr>
      <w:r>
        <w:rPr>
          <w:rFonts w:hint="eastAsia" w:ascii="Times New Roman" w:hAnsi="Times New Roman" w:eastAsia="黑体" w:cs="Times New Roman"/>
          <w:szCs w:val="24"/>
        </w:rPr>
        <w:t>附表</w:t>
      </w:r>
    </w:p>
    <w:p>
      <w:pPr>
        <w:spacing w:line="240" w:lineRule="auto"/>
        <w:rPr>
          <w:rFonts w:hint="eastAsia" w:ascii="Times New Roman" w:hAnsi="Times New Roman" w:eastAsia="仿宋_GB2312" w:cs="Times New Roman"/>
          <w:szCs w:val="24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</w:rPr>
        <w:t>2018年集中面授培训课程内容</w:t>
      </w:r>
    </w:p>
    <w:p>
      <w:pPr>
        <w:spacing w:line="240" w:lineRule="auto"/>
        <w:jc w:val="both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24"/>
        </w:rPr>
      </w:pPr>
    </w:p>
    <w:tbl>
      <w:tblPr>
        <w:tblStyle w:val="6"/>
        <w:tblW w:w="8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5648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</w:rPr>
              <w:t>项目</w:t>
            </w:r>
          </w:p>
        </w:tc>
        <w:tc>
          <w:tcPr>
            <w:tcW w:w="56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</w:rPr>
              <w:t>内容</w:t>
            </w:r>
          </w:p>
        </w:tc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4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基层中医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常见病诊断</w:t>
            </w:r>
          </w:p>
        </w:tc>
        <w:tc>
          <w:tcPr>
            <w:tcW w:w="564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1. 高血压的中医辨证论治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2. 冠心病心绞痛的中医论治</w:t>
            </w:r>
          </w:p>
        </w:tc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41" w:type="dxa"/>
            <w:vMerge w:val="continue"/>
            <w:vAlign w:val="center"/>
          </w:tcPr>
          <w:p>
            <w:pPr>
              <w:spacing w:line="240" w:lineRule="auto"/>
              <w:ind w:firstLine="320" w:firstLineChars="10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564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1. 心血管内科中医常用诊疗技术</w:t>
            </w:r>
          </w:p>
        </w:tc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8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合     计</w:t>
            </w:r>
          </w:p>
        </w:tc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24</w:t>
            </w:r>
          </w:p>
        </w:tc>
      </w:tr>
    </w:tbl>
    <w:p>
      <w:pPr>
        <w:spacing w:line="240" w:lineRule="auto"/>
        <w:rPr>
          <w:rFonts w:ascii="Times New Roman" w:hAnsi="Times New Roman" w:eastAsia="仿宋_GB2312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</w:rPr>
        <w:t>2018年度远程视频培训课程单元参考学时</w:t>
      </w:r>
    </w:p>
    <w:tbl>
      <w:tblPr>
        <w:tblStyle w:val="6"/>
        <w:tblpPr w:leftFromText="180" w:rightFromText="180" w:vertAnchor="text" w:horzAnchor="margin" w:tblpY="439"/>
        <w:tblOverlap w:val="never"/>
        <w:tblW w:w="892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925"/>
        <w:gridCol w:w="16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黑体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Cs w:val="21"/>
              </w:rPr>
              <w:t>项目</w:t>
            </w:r>
          </w:p>
        </w:tc>
        <w:tc>
          <w:tcPr>
            <w:tcW w:w="59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黑体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Cs w:val="21"/>
              </w:rPr>
              <w:t>单元名称</w:t>
            </w:r>
          </w:p>
        </w:tc>
        <w:tc>
          <w:tcPr>
            <w:tcW w:w="16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黑体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Cs w:val="21"/>
              </w:rPr>
              <w:t>参考学时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中医学</w:t>
            </w:r>
          </w:p>
        </w:tc>
        <w:tc>
          <w:tcPr>
            <w:tcW w:w="5925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中医学基本概念（整体观念、辨证论治、阴阳）</w:t>
            </w:r>
          </w:p>
        </w:tc>
        <w:tc>
          <w:tcPr>
            <w:tcW w:w="16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望诊、闻诊、问诊、切诊</w:t>
            </w:r>
          </w:p>
        </w:tc>
        <w:tc>
          <w:tcPr>
            <w:tcW w:w="16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1. 心脑系病证常用中成药用药知识</w:t>
            </w:r>
          </w:p>
          <w:p>
            <w:pPr>
              <w:spacing w:line="240" w:lineRule="auto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2. 骨伤科常用中成药用药知识</w:t>
            </w:r>
          </w:p>
        </w:tc>
        <w:tc>
          <w:tcPr>
            <w:tcW w:w="16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胸痹、不寐、中风、头痛、眩晕辨证论治</w:t>
            </w:r>
          </w:p>
        </w:tc>
        <w:tc>
          <w:tcPr>
            <w:tcW w:w="16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1. 常用穴位的定位与操作</w:t>
            </w:r>
          </w:p>
          <w:p>
            <w:pPr>
              <w:spacing w:line="240" w:lineRule="auto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2. 刮痧基本操作</w:t>
            </w:r>
          </w:p>
        </w:tc>
        <w:tc>
          <w:tcPr>
            <w:tcW w:w="16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小   计</w:t>
            </w:r>
          </w:p>
        </w:tc>
        <w:tc>
          <w:tcPr>
            <w:tcW w:w="16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22学时</w:t>
            </w:r>
          </w:p>
        </w:tc>
      </w:tr>
    </w:tbl>
    <w:p>
      <w:pPr>
        <w:spacing w:line="240" w:lineRule="auto"/>
        <w:jc w:val="both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24"/>
        </w:rPr>
      </w:pPr>
    </w:p>
    <w:p>
      <w:pPr>
        <w:widowControl w:val="0"/>
        <w:spacing w:line="60" w:lineRule="auto"/>
        <w:jc w:val="both"/>
        <w:rPr>
          <w:rFonts w:hint="eastAsia" w:ascii="Times New Roman" w:hAnsi="Times New Roman" w:eastAsia="仿宋_GB2312" w:cs="Times New Roman"/>
          <w:szCs w:val="24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474" w:bottom="1701" w:left="1588" w:header="851" w:footer="1588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10" w:rightChars="3"/>
      <w:jc w:val="right"/>
      <w:rPr>
        <w:rStyle w:val="5"/>
        <w:rFonts w:hint="eastAsia" w:eastAsia="宋体"/>
        <w:sz w:val="28"/>
        <w:szCs w:val="28"/>
      </w:rPr>
    </w:pPr>
    <w:r>
      <w:rPr>
        <w:rStyle w:val="5"/>
        <w:rFonts w:hint="eastAsia" w:eastAsia="宋体"/>
        <w:sz w:val="28"/>
        <w:szCs w:val="28"/>
      </w:rPr>
      <w:t xml:space="preserve">  — </w:t>
    </w:r>
    <w:r>
      <w:rPr>
        <w:rStyle w:val="5"/>
        <w:rFonts w:ascii="Times New Roman" w:hAnsi="Times New Roman" w:eastAsia="宋体"/>
        <w:sz w:val="28"/>
        <w:szCs w:val="28"/>
      </w:rPr>
      <w:fldChar w:fldCharType="begin"/>
    </w:r>
    <w:r>
      <w:rPr>
        <w:rStyle w:val="5"/>
        <w:rFonts w:ascii="Times New Roman" w:hAnsi="Times New Roman" w:eastAsia="宋体"/>
        <w:sz w:val="28"/>
        <w:szCs w:val="28"/>
      </w:rPr>
      <w:instrText xml:space="preserve">PAGE  </w:instrText>
    </w:r>
    <w:r>
      <w:rPr>
        <w:rStyle w:val="5"/>
        <w:rFonts w:ascii="Times New Roman" w:hAnsi="Times New Roman" w:eastAsia="宋体"/>
        <w:sz w:val="28"/>
        <w:szCs w:val="28"/>
      </w:rPr>
      <w:fldChar w:fldCharType="separate"/>
    </w:r>
    <w:r>
      <w:rPr>
        <w:rStyle w:val="5"/>
        <w:rFonts w:ascii="Times New Roman" w:hAnsi="Times New Roman" w:eastAsia="宋体"/>
        <w:sz w:val="28"/>
        <w:szCs w:val="28"/>
      </w:rPr>
      <w:t>3</w:t>
    </w:r>
    <w:r>
      <w:rPr>
        <w:rStyle w:val="5"/>
        <w:rFonts w:ascii="Times New Roman" w:hAnsi="Times New Roman" w:eastAsia="宋体"/>
        <w:sz w:val="28"/>
        <w:szCs w:val="28"/>
      </w:rPr>
      <w:fldChar w:fldCharType="end"/>
    </w:r>
    <w:r>
      <w:rPr>
        <w:rStyle w:val="5"/>
        <w:rFonts w:hint="eastAsia" w:eastAsia="宋体"/>
        <w:sz w:val="28"/>
        <w:szCs w:val="28"/>
      </w:rPr>
      <w:t xml:space="preserve"> —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10" w:rightChars="3"/>
      <w:jc w:val="right"/>
      <w:rPr>
        <w:rStyle w:val="5"/>
        <w:rFonts w:hint="eastAsia" w:eastAsia="宋体"/>
        <w:sz w:val="28"/>
        <w:szCs w:val="28"/>
      </w:rPr>
    </w:pPr>
    <w:r>
      <w:rPr>
        <w:rStyle w:val="5"/>
        <w:rFonts w:hint="eastAsia" w:eastAsia="宋体"/>
        <w:sz w:val="28"/>
        <w:szCs w:val="28"/>
      </w:rPr>
      <w:t xml:space="preserve">  — </w:t>
    </w:r>
    <w:r>
      <w:rPr>
        <w:rStyle w:val="5"/>
        <w:rFonts w:ascii="Times New Roman" w:hAnsi="Times New Roman" w:eastAsia="宋体"/>
        <w:sz w:val="28"/>
        <w:szCs w:val="28"/>
      </w:rPr>
      <w:fldChar w:fldCharType="begin"/>
    </w:r>
    <w:r>
      <w:rPr>
        <w:rStyle w:val="5"/>
        <w:rFonts w:ascii="Times New Roman" w:hAnsi="Times New Roman" w:eastAsia="宋体"/>
        <w:sz w:val="28"/>
        <w:szCs w:val="28"/>
      </w:rPr>
      <w:instrText xml:space="preserve">PAGE  </w:instrText>
    </w:r>
    <w:r>
      <w:rPr>
        <w:rStyle w:val="5"/>
        <w:rFonts w:ascii="Times New Roman" w:hAnsi="Times New Roman" w:eastAsia="宋体"/>
        <w:sz w:val="28"/>
        <w:szCs w:val="28"/>
      </w:rPr>
      <w:fldChar w:fldCharType="separate"/>
    </w:r>
    <w:r>
      <w:rPr>
        <w:rStyle w:val="5"/>
        <w:rFonts w:ascii="Times New Roman" w:hAnsi="Times New Roman" w:eastAsia="宋体"/>
        <w:sz w:val="28"/>
        <w:szCs w:val="28"/>
      </w:rPr>
      <w:t>4</w:t>
    </w:r>
    <w:r>
      <w:rPr>
        <w:rStyle w:val="5"/>
        <w:rFonts w:ascii="Times New Roman" w:hAnsi="Times New Roman" w:eastAsia="宋体"/>
        <w:sz w:val="28"/>
        <w:szCs w:val="28"/>
      </w:rPr>
      <w:fldChar w:fldCharType="end"/>
    </w:r>
    <w:r>
      <w:rPr>
        <w:rStyle w:val="5"/>
        <w:rFonts w:hint="eastAsia" w:eastAsia="宋体"/>
        <w:sz w:val="28"/>
        <w:szCs w:val="28"/>
      </w:rPr>
      <w:t xml:space="preserve"> — 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120C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20" w:lineRule="exact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2018-09-26T02:16:42Z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