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590" w:lineRule="exact"/>
        <w:ind w:left="0" w:leftChars="0" w:firstLine="0" w:firstLineChars="0"/>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 w:eastAsia="zh-CN" w:bidi="ar-SA"/>
        </w:rPr>
        <w:t>附件</w:t>
      </w:r>
    </w:p>
    <w:p>
      <w:pPr>
        <w:pStyle w:val="8"/>
        <w:keepNext w:val="0"/>
        <w:keepLines w:val="0"/>
        <w:pageBreakBefore w:val="0"/>
        <w:widowControl/>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kern w:val="2"/>
          <w:sz w:val="32"/>
          <w:szCs w:val="32"/>
          <w:lang w:val="en" w:eastAsia="zh-CN" w:bidi="ar-SA"/>
        </w:rPr>
      </w:pPr>
    </w:p>
    <w:p>
      <w:pPr>
        <w:keepNext w:val="0"/>
        <w:keepLines w:val="0"/>
        <w:pageBreakBefore w:val="0"/>
        <w:kinsoku/>
        <w:wordWrap/>
        <w:overflowPunct/>
        <w:topLinePunct w:val="0"/>
        <w:autoSpaceDE/>
        <w:autoSpaceDN/>
        <w:bidi w:val="0"/>
        <w:adjustRightInd/>
        <w:snapToGrid/>
        <w:spacing w:line="590" w:lineRule="exact"/>
        <w:jc w:val="center"/>
        <w:textAlignment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聚焦问题补短板，精细管理促发展</w:t>
      </w:r>
    </w:p>
    <w:p>
      <w:pPr>
        <w:pStyle w:val="5"/>
        <w:keepNext w:val="0"/>
        <w:keepLines w:val="0"/>
        <w:pageBreakBefore w:val="0"/>
        <w:numPr>
          <w:ilvl w:val="0"/>
          <w:numId w:val="0"/>
        </w:numPr>
        <w:kinsoku/>
        <w:wordWrap/>
        <w:overflowPunct/>
        <w:topLinePunct w:val="0"/>
        <w:autoSpaceDE/>
        <w:autoSpaceDN/>
        <w:bidi w:val="0"/>
        <w:adjustRightInd/>
        <w:snapToGrid/>
        <w:spacing w:line="590" w:lineRule="exact"/>
        <w:jc w:val="center"/>
        <w:rPr>
          <w:rFonts w:hint="default" w:ascii="Times New Roman" w:hAnsi="Times New Roman" w:eastAsia="仿宋" w:cs="Times New Roman"/>
          <w:b/>
          <w:bCs/>
          <w:color w:val="000000"/>
          <w:kern w:val="2"/>
          <w:sz w:val="32"/>
          <w:szCs w:val="32"/>
          <w:lang w:val="en-US" w:eastAsia="zh-CN" w:bidi="ar-SA"/>
        </w:rPr>
      </w:pPr>
      <w:r>
        <w:rPr>
          <w:rFonts w:hint="eastAsia" w:ascii="方正小标宋简体" w:hAnsi="方正小标宋简体" w:eastAsia="方正小标宋简体" w:cs="方正小标宋简体"/>
          <w:b w:val="0"/>
          <w:bCs w:val="0"/>
          <w:color w:val="000000"/>
          <w:kern w:val="2"/>
          <w:sz w:val="32"/>
          <w:szCs w:val="32"/>
          <w:lang w:val="en-US" w:eastAsia="zh-CN" w:bidi="ar-SA"/>
        </w:rPr>
        <w:t>——建设医用耗材三级库</w:t>
      </w: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福建省老年医院</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center"/>
        <w:rPr>
          <w:rFonts w:hint="eastAsia" w:ascii="黑体" w:hAnsi="黑体" w:eastAsia="黑体" w:cs="黑体"/>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610" w:lineRule="exact"/>
        <w:ind w:firstLine="640" w:firstLineChars="200"/>
        <w:textAlignment w:val="center"/>
        <w:rPr>
          <w:rFonts w:hint="eastAsia" w:ascii="Times New Roman" w:hAnsi="Times New Roman" w:eastAsia="仿宋" w:cs="Times New Roman"/>
          <w:szCs w:val="32"/>
        </w:rPr>
      </w:pPr>
      <w:r>
        <w:rPr>
          <w:rFonts w:hint="eastAsia" w:ascii="黑体" w:hAnsi="黑体" w:eastAsia="黑体" w:cs="黑体"/>
          <w:szCs w:val="32"/>
          <w:lang w:eastAsia="zh-CN"/>
        </w:rPr>
        <w:t>一</w:t>
      </w:r>
      <w:r>
        <w:rPr>
          <w:rFonts w:hint="eastAsia" w:ascii="黑体" w:hAnsi="黑体" w:eastAsia="黑体" w:cs="黑体"/>
          <w:szCs w:val="32"/>
        </w:rPr>
        <w:t>、背景介绍</w:t>
      </w:r>
    </w:p>
    <w:p>
      <w:pPr>
        <w:pStyle w:val="5"/>
        <w:keepNext w:val="0"/>
        <w:keepLines w:val="0"/>
        <w:pageBreakBefore w:val="0"/>
        <w:widowControl w:val="0"/>
        <w:kinsoku/>
        <w:wordWrap/>
        <w:overflowPunct/>
        <w:topLinePunct w:val="0"/>
        <w:autoSpaceDE/>
        <w:autoSpaceDN/>
        <w:bidi w:val="0"/>
        <w:adjustRightInd/>
        <w:snapToGrid w:val="0"/>
        <w:spacing w:line="610" w:lineRule="exact"/>
        <w:rPr>
          <w:rFonts w:hint="default" w:ascii="仿宋_GB2312" w:hAnsi="仿宋_GB2312" w:cs="仿宋_GB2312"/>
          <w:kern w:val="2"/>
          <w:sz w:val="32"/>
          <w:szCs w:val="32"/>
          <w:lang w:val="en-US" w:eastAsia="zh-CN" w:bidi="ar-SA"/>
        </w:rPr>
      </w:pPr>
      <w:r>
        <w:rPr>
          <w:rFonts w:hint="eastAsia" w:ascii="仿宋_GB2312" w:hAnsi="仿宋_GB2312" w:cs="仿宋_GB2312"/>
          <w:szCs w:val="32"/>
          <w:lang w:val="en-US" w:eastAsia="zh-CN"/>
        </w:rPr>
        <w:t>医用耗材是国有资产的重要组成部分，在医教研防关键环节发挥不可或缺的作用。医院医用耗材归口管理部门为设备科，负责办理</w:t>
      </w:r>
      <w:r>
        <w:rPr>
          <w:rFonts w:hint="eastAsia" w:ascii="仿宋_GB2312" w:hAnsi="宋体" w:eastAsia="仿宋_GB2312"/>
          <w:sz w:val="32"/>
          <w:szCs w:val="32"/>
        </w:rPr>
        <w:t>遴选、采购、验收、入库、保管、领用、出库、盘点、报废等</w:t>
      </w:r>
      <w:r>
        <w:rPr>
          <w:rFonts w:hint="eastAsia" w:ascii="仿宋_GB2312" w:hAnsi="宋体"/>
          <w:sz w:val="32"/>
          <w:szCs w:val="32"/>
          <w:lang w:val="en-US" w:eastAsia="zh-CN"/>
        </w:rPr>
        <w:t>相关业务。项目实施前医用耗材设置一级仓库设备科仓库和二级仓库供应室仓库，采用临床医技科室领用即核销的方式，即医用耗材在科室领用时确认为成本，减少库存数。这一方式存在以下</w:t>
      </w:r>
      <w:r>
        <w:rPr>
          <w:rFonts w:hint="eastAsia" w:ascii="仿宋_GB2312" w:hAnsi="仿宋_GB2312" w:cs="仿宋_GB2312"/>
          <w:szCs w:val="32"/>
          <w:lang w:val="en-US" w:eastAsia="zh-CN"/>
        </w:rPr>
        <w:t>几个方面的问题</w:t>
      </w:r>
      <w:r>
        <w:rPr>
          <w:rFonts w:hint="eastAsia" w:ascii="仿宋_GB2312" w:hAnsi="宋体"/>
          <w:sz w:val="32"/>
          <w:szCs w:val="32"/>
          <w:lang w:val="en-US" w:eastAsia="zh-CN"/>
        </w:rPr>
        <w:t>：</w:t>
      </w:r>
      <w:r>
        <w:rPr>
          <w:rFonts w:hint="eastAsia" w:ascii="仿宋_GB2312" w:hAnsi="宋体"/>
          <w:b/>
          <w:bCs/>
          <w:sz w:val="32"/>
          <w:szCs w:val="32"/>
          <w:lang w:val="en-US" w:eastAsia="zh-CN"/>
        </w:rPr>
        <w:t>一是</w:t>
      </w:r>
      <w:r>
        <w:rPr>
          <w:rFonts w:hint="eastAsia" w:ascii="仿宋_GB2312" w:hAnsi="宋体"/>
          <w:sz w:val="32"/>
          <w:szCs w:val="32"/>
          <w:lang w:val="en-US" w:eastAsia="zh-CN"/>
        </w:rPr>
        <w:t>临床医技科室领出备用的医用耗材在账外管理，资产核算不全面，存在账实不符的情况；</w:t>
      </w:r>
      <w:r>
        <w:rPr>
          <w:rFonts w:hint="eastAsia" w:ascii="仿宋_GB2312" w:hAnsi="宋体"/>
          <w:b/>
          <w:bCs/>
          <w:sz w:val="32"/>
          <w:szCs w:val="32"/>
          <w:lang w:val="en-US" w:eastAsia="zh-CN"/>
        </w:rPr>
        <w:t>二是</w:t>
      </w:r>
      <w:r>
        <w:rPr>
          <w:rFonts w:hint="eastAsia" w:ascii="仿宋_GB2312" w:hAnsi="宋体"/>
          <w:sz w:val="32"/>
          <w:szCs w:val="32"/>
          <w:lang w:val="en-US" w:eastAsia="zh-CN"/>
        </w:rPr>
        <w:t>临床医技科室对医用耗材的成本管控意识薄弱，如出现因未有效进行效期管理而发生浪费的现象；</w:t>
      </w:r>
      <w:r>
        <w:rPr>
          <w:rFonts w:hint="eastAsia" w:ascii="仿宋_GB2312" w:hAnsi="宋体"/>
          <w:b/>
          <w:bCs/>
          <w:sz w:val="32"/>
          <w:szCs w:val="32"/>
          <w:lang w:val="en-US" w:eastAsia="zh-CN"/>
        </w:rPr>
        <w:t>三是</w:t>
      </w:r>
      <w:r>
        <w:rPr>
          <w:rFonts w:hint="eastAsia" w:ascii="仿宋_GB2312" w:hAnsi="宋体"/>
          <w:sz w:val="32"/>
          <w:szCs w:val="32"/>
          <w:lang w:val="en-US" w:eastAsia="zh-CN"/>
        </w:rPr>
        <w:t>可收费医用耗材的收费环节与核销环节相互脱</w:t>
      </w:r>
      <w:r>
        <w:rPr>
          <w:rFonts w:hint="eastAsia" w:ascii="仿宋_GB2312" w:hAnsi="仿宋_GB2312" w:cs="仿宋_GB2312"/>
          <w:kern w:val="2"/>
          <w:sz w:val="32"/>
          <w:szCs w:val="32"/>
          <w:lang w:val="en-US" w:eastAsia="zh-CN" w:bidi="ar-SA"/>
        </w:rPr>
        <w:t>节，容易出现数量不匹配，收费不准确的情况。</w:t>
      </w:r>
      <w:r>
        <w:rPr>
          <w:rFonts w:hint="eastAsia" w:ascii="仿宋_GB2312" w:hAnsi="仿宋_GB2312" w:eastAsia="仿宋_GB2312" w:cs="仿宋_GB2312"/>
          <w:color w:val="000000"/>
          <w:kern w:val="2"/>
          <w:sz w:val="32"/>
          <w:szCs w:val="32"/>
          <w:lang w:val="en-US" w:eastAsia="zh-CN" w:bidi="ar-SA"/>
        </w:rPr>
        <w:t>针对</w:t>
      </w:r>
      <w:r>
        <w:rPr>
          <w:rFonts w:hint="eastAsia" w:ascii="仿宋_GB2312" w:hAnsi="仿宋_GB2312" w:cs="仿宋_GB2312"/>
          <w:color w:val="000000"/>
          <w:kern w:val="2"/>
          <w:sz w:val="32"/>
          <w:szCs w:val="32"/>
          <w:lang w:val="en-US" w:eastAsia="zh-CN" w:bidi="ar-SA"/>
        </w:rPr>
        <w:t>以上</w:t>
      </w:r>
      <w:r>
        <w:rPr>
          <w:rFonts w:hint="eastAsia" w:ascii="仿宋_GB2312" w:hAnsi="仿宋_GB2312" w:eastAsia="仿宋_GB2312" w:cs="仿宋_GB2312"/>
          <w:color w:val="000000"/>
          <w:kern w:val="2"/>
          <w:sz w:val="32"/>
          <w:szCs w:val="32"/>
          <w:lang w:val="en-US" w:eastAsia="zh-CN" w:bidi="ar-SA"/>
        </w:rPr>
        <w:t>情况，</w:t>
      </w:r>
      <w:r>
        <w:rPr>
          <w:rFonts w:hint="eastAsia" w:ascii="仿宋_GB2312" w:hAnsi="仿宋_GB2312" w:cs="仿宋_GB2312"/>
          <w:color w:val="000000"/>
          <w:kern w:val="2"/>
          <w:sz w:val="32"/>
          <w:szCs w:val="32"/>
          <w:lang w:val="en-US" w:eastAsia="zh-CN" w:bidi="ar-SA"/>
        </w:rPr>
        <w:t>福建省老年</w:t>
      </w:r>
      <w:r>
        <w:rPr>
          <w:rFonts w:hint="eastAsia" w:ascii="仿宋_GB2312" w:hAnsi="仿宋_GB2312" w:eastAsia="仿宋_GB2312" w:cs="仿宋_GB2312"/>
          <w:color w:val="000000"/>
          <w:kern w:val="2"/>
          <w:sz w:val="32"/>
          <w:szCs w:val="32"/>
          <w:lang w:val="en-US" w:eastAsia="zh-CN" w:bidi="ar-SA"/>
        </w:rPr>
        <w:t>医院决定</w:t>
      </w:r>
      <w:r>
        <w:rPr>
          <w:rFonts w:hint="eastAsia" w:ascii="仿宋_GB2312" w:hAnsi="仿宋_GB2312" w:cs="仿宋_GB2312"/>
          <w:szCs w:val="32"/>
          <w:lang w:val="en-US" w:eastAsia="zh-CN"/>
        </w:rPr>
        <w:t>从2021年3月份启动医用耗材三级库建设项目</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cs="仿宋_GB2312"/>
          <w:color w:val="000000"/>
          <w:kern w:val="2"/>
          <w:sz w:val="32"/>
          <w:szCs w:val="32"/>
          <w:lang w:val="en-US" w:eastAsia="zh-CN" w:bidi="ar-SA"/>
        </w:rPr>
        <w:t>要求强化管控力度，规范管理程序，</w:t>
      </w:r>
      <w:r>
        <w:rPr>
          <w:rFonts w:hint="eastAsia" w:ascii="仿宋_GB2312" w:hAnsi="仿宋_GB2312" w:eastAsia="仿宋_GB2312" w:cs="仿宋_GB2312"/>
          <w:color w:val="000000"/>
          <w:kern w:val="2"/>
          <w:sz w:val="32"/>
          <w:szCs w:val="32"/>
          <w:lang w:val="en-US" w:eastAsia="zh-CN" w:bidi="ar-SA"/>
        </w:rPr>
        <w:t>从而</w:t>
      </w:r>
      <w:r>
        <w:rPr>
          <w:rFonts w:hint="eastAsia" w:ascii="仿宋_GB2312" w:hAnsi="仿宋_GB2312" w:cs="仿宋_GB2312"/>
          <w:color w:val="000000"/>
          <w:kern w:val="2"/>
          <w:sz w:val="32"/>
          <w:szCs w:val="32"/>
          <w:lang w:val="en-US" w:eastAsia="zh-CN" w:bidi="ar-SA"/>
        </w:rPr>
        <w:t>加强资产管理、收费管理，</w:t>
      </w:r>
      <w:r>
        <w:rPr>
          <w:rFonts w:hint="eastAsia" w:ascii="仿宋_GB2312" w:hAnsi="仿宋_GB2312" w:eastAsia="仿宋_GB2312" w:cs="仿宋_GB2312"/>
          <w:color w:val="000000"/>
          <w:kern w:val="2"/>
          <w:sz w:val="32"/>
          <w:szCs w:val="32"/>
          <w:lang w:val="en-US" w:eastAsia="zh-CN" w:bidi="ar-SA"/>
        </w:rPr>
        <w:t>降低成本，减轻负担。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center"/>
        <w:rPr>
          <w:rFonts w:hint="eastAsia"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、亮点做法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center"/>
        <w:rPr>
          <w:rFonts w:hint="eastAsia" w:ascii="楷体_GB2312" w:hAnsi="楷体_GB2312" w:eastAsia="楷体_GB2312" w:cs="楷体_GB2312"/>
          <w:b/>
          <w:bCs/>
          <w:szCs w:val="32"/>
          <w:lang w:val="en-US" w:eastAsia="zh-CN"/>
        </w:rPr>
      </w:pPr>
      <w:r>
        <w:rPr>
          <w:rFonts w:hint="eastAsia" w:ascii="楷体_GB2312" w:hAnsi="楷体_GB2312" w:eastAsia="楷体_GB2312" w:cs="楷体_GB2312"/>
          <w:b/>
          <w:bCs/>
          <w:szCs w:val="32"/>
          <w:lang w:val="en-US" w:eastAsia="zh-CN"/>
        </w:rPr>
        <w:t>（一）强调组织保障，落实责任分工</w:t>
      </w:r>
    </w:p>
    <w:p>
      <w:pPr>
        <w:pStyle w:val="5"/>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医用耗材三级库建设项目得到医院党委的高度重视，多次专题研究讨论相关议题事项；分阶段制定工作方案，院长亲自部署，院领导班子成员各自负责，并从财务科、信息科、设备科抽调专人实施，指定各科室资产管理员承担三级库管理员职责；确定工作时间进度，推动持续完善专项工作。</w:t>
      </w:r>
    </w:p>
    <w:p>
      <w:pPr>
        <w:pStyle w:val="5"/>
        <w:keepNext w:val="0"/>
        <w:keepLines w:val="0"/>
        <w:pageBreakBefore w:val="0"/>
        <w:widowControl w:val="0"/>
        <w:kinsoku/>
        <w:wordWrap/>
        <w:overflowPunct/>
        <w:topLinePunct w:val="0"/>
        <w:autoSpaceDE/>
        <w:autoSpaceDN/>
        <w:bidi w:val="0"/>
        <w:adjustRightInd/>
        <w:snapToGrid/>
        <w:spacing w:line="590" w:lineRule="exact"/>
        <w:rPr>
          <w:rFonts w:hint="default" w:ascii="楷体_GB2312" w:hAnsi="楷体_GB2312" w:eastAsia="楷体_GB2312" w:cs="楷体_GB2312"/>
          <w:b/>
          <w:bCs/>
          <w:szCs w:val="32"/>
          <w:lang w:val="en-US" w:eastAsia="zh-CN"/>
        </w:rPr>
      </w:pPr>
      <w:r>
        <w:rPr>
          <w:rFonts w:hint="eastAsia" w:ascii="楷体_GB2312" w:hAnsi="楷体_GB2312" w:eastAsia="楷体_GB2312" w:cs="楷体_GB2312"/>
          <w:b/>
          <w:bCs/>
          <w:szCs w:val="32"/>
          <w:lang w:val="en-US" w:eastAsia="zh-CN"/>
        </w:rPr>
        <w:t>（二）广泛宣传部署，强化监督管理</w:t>
      </w:r>
    </w:p>
    <w:p>
      <w:pPr>
        <w:pStyle w:val="5"/>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医院多次召开专项工作会议，医院纪委参与工作部署，结合医疗结构及其工作人员廉洁从业行动计划中对重点耗材细化管理的要求，强调医用耗材管理风险，细化专项工作任务，要求责任科室和责任人统一思想，增强管理意识，遵守工作纪律，切实按期完成专项工作。期间多次组织院内政策宣讲培训，内容包括医疗服务价格收费管理、医疗保障基金使用监督管理条例等，不断加强临床医技部门对医用耗材合规收费工作的重视，提高管理要求和水平。</w:t>
      </w:r>
    </w:p>
    <w:p>
      <w:pPr>
        <w:pStyle w:val="5"/>
        <w:keepNext w:val="0"/>
        <w:keepLines w:val="0"/>
        <w:pageBreakBefore w:val="0"/>
        <w:widowControl w:val="0"/>
        <w:kinsoku/>
        <w:wordWrap/>
        <w:overflowPunct/>
        <w:topLinePunct w:val="0"/>
        <w:autoSpaceDE/>
        <w:autoSpaceDN/>
        <w:bidi w:val="0"/>
        <w:adjustRightInd/>
        <w:snapToGrid/>
        <w:spacing w:line="590" w:lineRule="exact"/>
        <w:rPr>
          <w:rFonts w:hint="default" w:ascii="楷体_GB2312" w:hAnsi="楷体_GB2312" w:eastAsia="楷体_GB2312" w:cs="楷体_GB2312"/>
          <w:b/>
          <w:bCs/>
          <w:szCs w:val="32"/>
          <w:lang w:val="en-US" w:eastAsia="zh-CN"/>
        </w:rPr>
      </w:pPr>
      <w:r>
        <w:rPr>
          <w:rFonts w:hint="eastAsia" w:ascii="楷体_GB2312" w:hAnsi="楷体_GB2312" w:eastAsia="楷体_GB2312" w:cs="楷体_GB2312"/>
          <w:b/>
          <w:bCs/>
          <w:szCs w:val="32"/>
          <w:lang w:val="en-US" w:eastAsia="zh-CN"/>
        </w:rPr>
        <w:t>（三）分期分步实施，跟踪分析推进</w:t>
      </w:r>
    </w:p>
    <w:p>
      <w:pPr>
        <w:pStyle w:val="5"/>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1.首先信息科组织完成信息系统改造，建立三级库管理平台，实现与一、二级仓库物资信息流的准确核算；打通可收费医用耗材的核销与收费环节，确保准确联动，医用耗材在收费行为发生时同步核减库存数。</w:t>
      </w:r>
    </w:p>
    <w:p>
      <w:pPr>
        <w:pStyle w:val="5"/>
        <w:keepNext w:val="0"/>
        <w:keepLines w:val="0"/>
        <w:pageBreakBefore w:val="0"/>
        <w:widowControl w:val="0"/>
        <w:kinsoku/>
        <w:wordWrap/>
        <w:overflowPunct/>
        <w:topLinePunct w:val="0"/>
        <w:autoSpaceDE/>
        <w:autoSpaceDN/>
        <w:bidi w:val="0"/>
        <w:adjustRightInd/>
        <w:snapToGrid w:val="0"/>
        <w:spacing w:line="57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2.对比三年来的历史数据，综合考虑科室资产管理能力，首期选取呼吸与危重症医学科等10个重点临床医技科室进行一期建库，先将可收费医用耗材纳入管理范围，总规模覆盖率达50%左右。</w:t>
      </w:r>
    </w:p>
    <w:p>
      <w:pPr>
        <w:pStyle w:val="5"/>
        <w:keepNext w:val="0"/>
        <w:keepLines w:val="0"/>
        <w:pageBreakBefore w:val="0"/>
        <w:widowControl w:val="0"/>
        <w:kinsoku/>
        <w:wordWrap/>
        <w:overflowPunct/>
        <w:topLinePunct w:val="0"/>
        <w:autoSpaceDE/>
        <w:autoSpaceDN/>
        <w:bidi w:val="0"/>
        <w:adjustRightInd/>
        <w:snapToGrid w:val="0"/>
        <w:spacing w:line="57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3.建库科室按要求时间盘点确认各自三级库可收费医用耗材实际数量，完成建账、录入、确认报账等工作。3月底财务科将建账情况向院办公会、党委会汇报，根据会议意见进行账务处理。</w:t>
      </w:r>
    </w:p>
    <w:p>
      <w:pPr>
        <w:pStyle w:val="5"/>
        <w:keepNext w:val="0"/>
        <w:keepLines w:val="0"/>
        <w:pageBreakBefore w:val="0"/>
        <w:widowControl w:val="0"/>
        <w:kinsoku/>
        <w:wordWrap/>
        <w:overflowPunct/>
        <w:topLinePunct w:val="0"/>
        <w:autoSpaceDE/>
        <w:autoSpaceDN/>
        <w:bidi w:val="0"/>
        <w:adjustRightInd/>
        <w:snapToGrid w:val="0"/>
        <w:spacing w:line="570" w:lineRule="exact"/>
        <w:rPr>
          <w:rFonts w:hint="default" w:ascii="仿宋_GB2312" w:hAnsi="仿宋_GB2312" w:cs="仿宋_GB2312"/>
          <w:szCs w:val="32"/>
          <w:lang w:val="en-US" w:eastAsia="zh-CN"/>
        </w:rPr>
      </w:pPr>
      <w:r>
        <w:rPr>
          <w:rFonts w:hint="eastAsia" w:ascii="仿宋_GB2312" w:hAnsi="仿宋_GB2312" w:cs="仿宋_GB2312"/>
          <w:szCs w:val="32"/>
          <w:lang w:val="en-US" w:eastAsia="zh-CN"/>
        </w:rPr>
        <w:t>4.实际运过程中，财务科持续跟踪分析三级库数据，建立工作微信群，与各部门积极沟通协调，发现问题、解决问题，及时进行项目回顾，总结经验教训，遇重大问题及时汇报。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5.根据首期建库运行情况，11月份医院进一步推动三级库建设项目深入开展，部署全院各临床医技科室全面开展建库核算工作，并将不可收费高值医用耗材纳入管理范围。</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6.财务科、纪检办加强监管力度，为持续完善医用耗材管理奠定氛围基础，要求各科室根据时间进度安排，确保年底前全面完成全院建库核算工作，进一步完善信息报表系统，夯实医用耗材三级库账实数据。</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center"/>
        <w:rPr>
          <w:rFonts w:hint="eastAsia" w:ascii="黑体" w:hAnsi="黑体" w:eastAsia="黑体" w:cs="黑体"/>
          <w:szCs w:val="32"/>
        </w:rPr>
      </w:pPr>
      <w:r>
        <w:rPr>
          <w:rFonts w:hint="eastAsia" w:ascii="黑体" w:hAnsi="黑体" w:eastAsia="黑体" w:cs="黑体"/>
          <w:szCs w:val="32"/>
          <w:lang w:eastAsia="zh-CN"/>
        </w:rPr>
        <w:t>三</w:t>
      </w:r>
      <w:r>
        <w:rPr>
          <w:rFonts w:hint="eastAsia" w:ascii="黑体" w:hAnsi="黑体" w:eastAsia="黑体" w:cs="黑体"/>
          <w:szCs w:val="32"/>
        </w:rPr>
        <w:t>、</w:t>
      </w:r>
      <w:r>
        <w:rPr>
          <w:rFonts w:hint="default" w:ascii="黑体" w:hAnsi="黑体" w:eastAsia="黑体" w:cs="黑体"/>
          <w:szCs w:val="32"/>
        </w:rPr>
        <w:t>实施效果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center"/>
        <w:rPr>
          <w:rFonts w:hint="default" w:ascii="仿宋_GB2312" w:hAnsi="仿宋_GB2312" w:eastAsia="仿宋_GB2312" w:cs="仿宋_GB2312"/>
          <w:szCs w:val="32"/>
        </w:rPr>
      </w:pPr>
      <w:r>
        <w:rPr>
          <w:rFonts w:hint="eastAsia" w:ascii="仿宋_GB2312" w:hAnsi="仿宋_GB2312" w:cs="仿宋_GB2312"/>
          <w:szCs w:val="32"/>
          <w:lang w:val="en-US" w:eastAsia="zh-CN"/>
        </w:rPr>
        <w:t>项目实施以来，责任科室积极研究讨论解决问题的路径方法，全院各科室予以支持配合，取得了一定的管理效果和成绩</w:t>
      </w:r>
      <w:r>
        <w:rPr>
          <w:rFonts w:hint="default" w:ascii="仿宋_GB2312" w:hAnsi="仿宋_GB2312" w:eastAsia="仿宋_GB2312" w:cs="仿宋_GB2312"/>
          <w:szCs w:val="32"/>
        </w:rPr>
        <w:t>。</w:t>
      </w:r>
    </w:p>
    <w:p>
      <w:pPr>
        <w:pStyle w:val="5"/>
        <w:keepNext w:val="0"/>
        <w:keepLines w:val="0"/>
        <w:pageBreakBefore w:val="0"/>
        <w:widowControl w:val="0"/>
        <w:kinsoku/>
        <w:wordWrap/>
        <w:overflowPunct/>
        <w:topLinePunct w:val="0"/>
        <w:autoSpaceDE/>
        <w:autoSpaceDN/>
        <w:bidi w:val="0"/>
        <w:adjustRightInd/>
        <w:snapToGrid w:val="0"/>
        <w:spacing w:after="0" w:line="570" w:lineRule="exact"/>
        <w:rPr>
          <w:rFonts w:hint="default" w:ascii="仿宋_GB2312" w:hAnsi="仿宋_GB2312" w:cs="仿宋_GB2312"/>
          <w:szCs w:val="32"/>
          <w:lang w:val="en-US" w:eastAsia="zh-CN"/>
        </w:rPr>
      </w:pPr>
      <w:r>
        <w:rPr>
          <w:rFonts w:hint="eastAsia" w:ascii="仿宋_GB2312" w:hAnsi="仿宋_GB2312" w:cs="仿宋_GB2312"/>
          <w:szCs w:val="32"/>
          <w:lang w:val="en-US" w:eastAsia="zh-CN"/>
        </w:rPr>
        <w:t>（一）进一步强化资产管理要求，增强资产管理意识，医院在此基础上完善制度建设，建立长效管理机制，修订了《医用耗材管理办法》《存货管理制度》等。</w:t>
      </w:r>
    </w:p>
    <w:p>
      <w:pPr>
        <w:pStyle w:val="5"/>
        <w:keepNext w:val="0"/>
        <w:keepLines w:val="0"/>
        <w:pageBreakBefore w:val="0"/>
        <w:widowControl w:val="0"/>
        <w:kinsoku/>
        <w:wordWrap/>
        <w:overflowPunct/>
        <w:topLinePunct w:val="0"/>
        <w:autoSpaceDE/>
        <w:autoSpaceDN/>
        <w:bidi w:val="0"/>
        <w:adjustRightInd/>
        <w:snapToGrid w:val="0"/>
        <w:spacing w:after="0" w:line="57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（二）账务管理逐步规范，首期医用耗材三级库盘点增资212万元（见表1）。</w:t>
      </w: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rPr>
          <w:rFonts w:hint="eastAsia" w:ascii="仿宋_GB2312" w:hAnsi="仿宋_GB2312" w:cs="仿宋_GB2312"/>
          <w:szCs w:val="32"/>
          <w:lang w:val="en-US" w:eastAsia="zh-CN"/>
        </w:rPr>
      </w:pPr>
      <w:r>
        <w:rPr>
          <w:rFonts w:hint="eastAsia" w:ascii="黑体" w:hAnsi="黑体" w:eastAsia="黑体" w:cs="黑体"/>
          <w:b w:val="0"/>
          <w:bCs w:val="0"/>
          <w:color w:val="000000"/>
          <w:sz w:val="32"/>
          <w:szCs w:val="32"/>
          <w:lang w:val="en-US" w:eastAsia="zh-CN"/>
        </w:rPr>
        <w:t>表1  医用耗材三级库盘点情况表</w:t>
      </w:r>
    </w:p>
    <w:tbl>
      <w:tblPr>
        <w:tblStyle w:val="6"/>
        <w:tblW w:w="95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0"/>
        <w:gridCol w:w="1662"/>
        <w:gridCol w:w="1662"/>
        <w:gridCol w:w="1663"/>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科室名称</w:t>
            </w:r>
          </w:p>
        </w:tc>
        <w:tc>
          <w:tcPr>
            <w:tcW w:w="1587"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低值易耗品</w:t>
            </w:r>
          </w:p>
        </w:tc>
        <w:tc>
          <w:tcPr>
            <w:tcW w:w="1587"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高值耗材</w:t>
            </w:r>
          </w:p>
        </w:tc>
        <w:tc>
          <w:tcPr>
            <w:tcW w:w="1587"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一次性材料</w:t>
            </w:r>
          </w:p>
        </w:tc>
        <w:tc>
          <w:tcPr>
            <w:tcW w:w="1587"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呼吸与危重症医学科</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1,584.36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90" w:lineRule="exact"/>
              <w:jc w:val="right"/>
              <w:rPr>
                <w:rFonts w:hint="eastAsia" w:ascii="仿宋_GB2312" w:hAnsi="仿宋_GB2312" w:eastAsia="仿宋_GB2312" w:cs="仿宋_GB2312"/>
                <w:i w:val="0"/>
                <w:iCs w:val="0"/>
                <w:color w:val="000000"/>
                <w:sz w:val="24"/>
                <w:szCs w:val="24"/>
                <w:u w:val="none"/>
              </w:rPr>
            </w:pP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52,063.40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53,647.76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消化内科</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54.15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3,900.00 </w:t>
            </w: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32,319.89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36,274.04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神经内科</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90" w:lineRule="exact"/>
              <w:jc w:val="right"/>
              <w:rPr>
                <w:rFonts w:hint="eastAsia" w:ascii="仿宋_GB2312" w:hAnsi="仿宋_GB2312" w:eastAsia="仿宋_GB2312" w:cs="仿宋_GB2312"/>
                <w:i w:val="0"/>
                <w:iCs w:val="0"/>
                <w:color w:val="000000"/>
                <w:sz w:val="24"/>
                <w:szCs w:val="24"/>
                <w:u w:val="none"/>
              </w:rPr>
            </w:pP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90" w:lineRule="exact"/>
              <w:jc w:val="right"/>
              <w:rPr>
                <w:rFonts w:hint="eastAsia" w:ascii="仿宋_GB2312" w:hAnsi="仿宋_GB2312" w:eastAsia="仿宋_GB2312" w:cs="仿宋_GB2312"/>
                <w:i w:val="0"/>
                <w:iCs w:val="0"/>
                <w:color w:val="000000"/>
                <w:sz w:val="24"/>
                <w:szCs w:val="24"/>
                <w:u w:val="none"/>
              </w:rPr>
            </w:pP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20,521.13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20,521.13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心血管内科</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930.60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227,255.80 </w:t>
            </w: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41,458.41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269,644.81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内分泌科</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3,355.00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90" w:lineRule="exact"/>
              <w:jc w:val="right"/>
              <w:rPr>
                <w:rFonts w:hint="eastAsia" w:ascii="仿宋_GB2312" w:hAnsi="仿宋_GB2312" w:eastAsia="仿宋_GB2312" w:cs="仿宋_GB2312"/>
                <w:i w:val="0"/>
                <w:iCs w:val="0"/>
                <w:color w:val="000000"/>
                <w:sz w:val="24"/>
                <w:szCs w:val="24"/>
                <w:u w:val="none"/>
              </w:rPr>
            </w:pP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15,311.17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18,666.17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重症医学科</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5,579.00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233,126.98 </w:t>
            </w: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256,215.48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494,921.46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综合外科病区</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90" w:lineRule="exact"/>
              <w:jc w:val="right"/>
              <w:rPr>
                <w:rFonts w:hint="eastAsia" w:ascii="仿宋_GB2312" w:hAnsi="仿宋_GB2312" w:eastAsia="仿宋_GB2312" w:cs="仿宋_GB2312"/>
                <w:i w:val="0"/>
                <w:iCs w:val="0"/>
                <w:color w:val="000000"/>
                <w:sz w:val="24"/>
                <w:szCs w:val="24"/>
                <w:u w:val="none"/>
              </w:rPr>
            </w:pP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590" w:lineRule="exact"/>
              <w:jc w:val="right"/>
              <w:rPr>
                <w:rFonts w:hint="eastAsia" w:ascii="仿宋_GB2312" w:hAnsi="仿宋_GB2312" w:eastAsia="仿宋_GB2312" w:cs="仿宋_GB2312"/>
                <w:i w:val="0"/>
                <w:iCs w:val="0"/>
                <w:color w:val="000000"/>
                <w:sz w:val="24"/>
                <w:szCs w:val="24"/>
                <w:u w:val="none"/>
              </w:rPr>
            </w:pP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32,755.45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32,755.45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骨科、神经二病区</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384.00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3,344.00 </w:t>
            </w: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10,763.10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14,491.10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手术室</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1,924.50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894,900.31 </w:t>
            </w:r>
          </w:p>
        </w:tc>
        <w:tc>
          <w:tcPr>
            <w:tcW w:w="1587" w:type="dxa"/>
            <w:tcBorders>
              <w:top w:val="nil"/>
              <w:left w:val="nil"/>
              <w:bottom w:val="single" w:color="000000" w:sz="8" w:space="0"/>
              <w:right w:val="single" w:color="000000" w:sz="8"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278,554.36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1,175,379.17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788"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13,811.61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1,362,527.09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739,962.39 </w:t>
            </w:r>
          </w:p>
        </w:tc>
        <w:tc>
          <w:tcPr>
            <w:tcW w:w="1587" w:type="dxa"/>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590" w:lineRule="exact"/>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2,116,301.09 </w:t>
            </w:r>
          </w:p>
        </w:tc>
      </w:tr>
    </w:tbl>
    <w:p>
      <w:pPr>
        <w:pStyle w:val="5"/>
        <w:keepNext w:val="0"/>
        <w:keepLines w:val="0"/>
        <w:pageBreakBefore w:val="0"/>
        <w:widowControl w:val="0"/>
        <w:kinsoku/>
        <w:wordWrap/>
        <w:overflowPunct/>
        <w:topLinePunct w:val="0"/>
        <w:autoSpaceDE/>
        <w:autoSpaceDN/>
        <w:bidi w:val="0"/>
        <w:adjustRightInd/>
        <w:snapToGrid w:val="0"/>
        <w:spacing w:after="0" w:line="570" w:lineRule="exact"/>
        <w:rPr>
          <w:rFonts w:hint="eastAsia" w:ascii="仿宋_GB2312" w:hAnsi="仿宋_GB2312" w:cs="仿宋_GB2312"/>
          <w:szCs w:val="32"/>
          <w:lang w:val="en-US" w:eastAsia="zh-CN"/>
        </w:rPr>
      </w:pPr>
      <w:r>
        <w:rPr>
          <w:rFonts w:hint="eastAsia" w:ascii="仿宋_GB2312" w:hAnsi="仿宋_GB2312" w:cs="仿宋_GB2312"/>
          <w:szCs w:val="32"/>
          <w:lang w:val="en-US" w:eastAsia="zh-CN"/>
        </w:rPr>
        <w:t>（三）医用耗材实现配比核销，落实“实耗实销、厉行节约、成本管控”的原则，增强了医用耗材流通数据的真实性、准确性和透明性，提高会计信息质量。</w:t>
      </w:r>
    </w:p>
    <w:p>
      <w:pPr>
        <w:pStyle w:val="5"/>
        <w:keepNext w:val="0"/>
        <w:keepLines w:val="0"/>
        <w:pageBreakBefore w:val="0"/>
        <w:widowControl w:val="0"/>
        <w:kinsoku/>
        <w:wordWrap/>
        <w:overflowPunct/>
        <w:topLinePunct w:val="0"/>
        <w:autoSpaceDE/>
        <w:autoSpaceDN/>
        <w:bidi w:val="0"/>
        <w:adjustRightInd/>
        <w:snapToGrid w:val="0"/>
        <w:spacing w:after="0" w:line="570" w:lineRule="exact"/>
      </w:pPr>
      <w:r>
        <w:rPr>
          <w:rFonts w:hint="eastAsia" w:ascii="仿宋_GB2312" w:hAnsi="仿宋_GB2312" w:cs="仿宋_GB2312"/>
          <w:szCs w:val="32"/>
          <w:lang w:val="en-US" w:eastAsia="zh-CN"/>
        </w:rPr>
        <w:t>（四）进一步规范医用耗材收费管理，结合10月份国家医保业务编码贯标工作，统一医疗耗材收费编码，医用耗材方面的收费错误大幅度下降。</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701" w:left="1587" w:header="283" w:footer="1417" w:gutter="0"/>
      <w:pgNumType w:fmt="decimal" w:start="60"/>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A116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Body Text First Indent 2"/>
    <w:qFormat/>
    <w:uiPriority w:val="0"/>
    <w:pPr>
      <w:widowControl w:val="0"/>
      <w:spacing w:after="120"/>
      <w:ind w:firstLine="420" w:firstLineChars="200"/>
      <w:jc w:val="both"/>
    </w:pPr>
    <w:rPr>
      <w:rFonts w:ascii="Calibri" w:hAnsi="Calibri" w:eastAsia="仿宋_GB2312" w:cs="Times New Roman"/>
      <w:kern w:val="2"/>
      <w:sz w:val="32"/>
      <w:szCs w:val="22"/>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D824621E1FE148A6880FC5B10856D580</vt:lpwstr>
  </property>
</Properties>
</file>