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2CCF9">
      <w:pPr>
        <w:adjustRightInd w:val="0"/>
        <w:snapToGrid w:val="0"/>
        <w:spacing w:line="590" w:lineRule="exact"/>
        <w:rPr>
          <w:rFonts w:hint="eastAsia" w:ascii="黑体" w:hAnsi="黑体" w:eastAsia="黑体" w:cs="黑体"/>
          <w:color w:val="000000"/>
          <w:sz w:val="32"/>
          <w:highlight w:val="none"/>
          <w:u w:val="none"/>
        </w:rPr>
      </w:pPr>
      <w:r>
        <w:rPr>
          <w:rFonts w:hint="eastAsia" w:ascii="黑体" w:hAnsi="黑体" w:eastAsia="黑体" w:cs="黑体"/>
          <w:color w:val="000000"/>
          <w:sz w:val="32"/>
          <w:highlight w:val="none"/>
          <w:u w:val="none"/>
        </w:rPr>
        <w:t>附件3</w:t>
      </w:r>
    </w:p>
    <w:p w14:paraId="306AB00B">
      <w:pPr>
        <w:adjustRightInd w:val="0"/>
        <w:snapToGrid w:val="0"/>
        <w:jc w:val="center"/>
        <w:rPr>
          <w:rFonts w:hint="eastAsia" w:eastAsia="方正小标宋简体"/>
          <w:color w:val="000000"/>
          <w:sz w:val="48"/>
          <w:szCs w:val="48"/>
          <w:highlight w:val="none"/>
          <w:u w:val="none"/>
        </w:rPr>
      </w:pPr>
      <w:r>
        <w:rPr>
          <w:rFonts w:hint="eastAsia" w:eastAsia="方正小标宋简体" w:cs="Times New Roman"/>
          <w:color w:val="000000"/>
          <w:sz w:val="36"/>
          <w:szCs w:val="36"/>
          <w:highlight w:val="none"/>
          <w:u w:val="none"/>
        </w:rPr>
        <w:t>职业健康检查机构</w:t>
      </w:r>
      <w:r>
        <w:rPr>
          <w:rFonts w:hint="eastAsia" w:eastAsia="方正小标宋简体" w:cs="Times New Roman"/>
          <w:color w:val="000000"/>
          <w:sz w:val="36"/>
          <w:szCs w:val="36"/>
          <w:highlight w:val="none"/>
          <w:u w:val="none"/>
          <w:lang w:eastAsia="zh-CN"/>
        </w:rPr>
        <w:t>具备</w:t>
      </w:r>
      <w:r>
        <w:rPr>
          <w:rFonts w:hint="eastAsia" w:eastAsia="方正小标宋简体" w:cs="Times New Roman"/>
          <w:color w:val="000000"/>
          <w:sz w:val="36"/>
          <w:szCs w:val="36"/>
          <w:highlight w:val="none"/>
          <w:u w:val="none"/>
        </w:rPr>
        <w:t>基本检查内容所需仪器、设备及可委托检查内容情况表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7"/>
        <w:gridCol w:w="7305"/>
        <w:gridCol w:w="1467"/>
      </w:tblGrid>
      <w:tr w14:paraId="743A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317" w:type="dxa"/>
            <w:noWrap w:val="0"/>
            <w:vAlign w:val="center"/>
          </w:tcPr>
          <w:p w14:paraId="5D7F13BE">
            <w:pPr>
              <w:spacing w:line="360" w:lineRule="exact"/>
              <w:jc w:val="center"/>
              <w:rPr>
                <w:rFonts w:hint="eastAsia" w:eastAsia="黑体" w:cs="宋体"/>
                <w:color w:val="000000"/>
                <w:sz w:val="28"/>
                <w:szCs w:val="28"/>
                <w:highlight w:val="none"/>
                <w:u w:val="none"/>
              </w:rPr>
            </w:pPr>
            <w:r>
              <w:rPr>
                <w:rFonts w:hint="eastAsia" w:eastAsia="黑体" w:cs="宋体"/>
                <w:color w:val="000000"/>
                <w:sz w:val="28"/>
                <w:szCs w:val="28"/>
                <w:highlight w:val="none"/>
                <w:u w:val="none"/>
              </w:rPr>
              <w:t>检查内容</w:t>
            </w:r>
          </w:p>
        </w:tc>
        <w:tc>
          <w:tcPr>
            <w:tcW w:w="7305" w:type="dxa"/>
            <w:noWrap w:val="0"/>
            <w:vAlign w:val="center"/>
          </w:tcPr>
          <w:p w14:paraId="19FA92FF">
            <w:pPr>
              <w:spacing w:line="360" w:lineRule="exact"/>
              <w:jc w:val="center"/>
              <w:rPr>
                <w:rFonts w:hint="eastAsia" w:eastAsia="黑体" w:cs="宋体"/>
                <w:color w:val="000000"/>
                <w:sz w:val="28"/>
                <w:szCs w:val="28"/>
                <w:highlight w:val="none"/>
                <w:u w:val="none"/>
              </w:rPr>
            </w:pPr>
            <w:r>
              <w:rPr>
                <w:rFonts w:hint="eastAsia" w:eastAsia="黑体" w:cs="宋体"/>
                <w:color w:val="000000"/>
                <w:sz w:val="28"/>
                <w:szCs w:val="28"/>
                <w:highlight w:val="none"/>
                <w:u w:val="none"/>
              </w:rPr>
              <w:t>本机构配备符合检查内容要求的仪器、设备名称及型号</w:t>
            </w:r>
          </w:p>
        </w:tc>
        <w:tc>
          <w:tcPr>
            <w:tcW w:w="1467" w:type="dxa"/>
            <w:noWrap w:val="0"/>
            <w:vAlign w:val="center"/>
          </w:tcPr>
          <w:p w14:paraId="2C5226A3">
            <w:pPr>
              <w:spacing w:line="360" w:lineRule="exact"/>
              <w:jc w:val="center"/>
              <w:rPr>
                <w:rFonts w:hint="eastAsia" w:eastAsia="黑体" w:cs="宋体"/>
                <w:color w:val="000000"/>
                <w:sz w:val="28"/>
                <w:szCs w:val="28"/>
                <w:highlight w:val="none"/>
                <w:u w:val="none"/>
              </w:rPr>
            </w:pPr>
            <w:r>
              <w:rPr>
                <w:rFonts w:hint="eastAsia" w:eastAsia="黑体" w:cs="宋体"/>
                <w:color w:val="000000"/>
                <w:sz w:val="28"/>
                <w:szCs w:val="28"/>
                <w:highlight w:val="none"/>
                <w:u w:val="none"/>
              </w:rPr>
              <w:t>备注</w:t>
            </w:r>
          </w:p>
        </w:tc>
      </w:tr>
      <w:tr w14:paraId="4058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317" w:type="dxa"/>
            <w:noWrap w:val="0"/>
            <w:vAlign w:val="center"/>
          </w:tcPr>
          <w:p w14:paraId="5C15AA04">
            <w:pPr>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血常规（包括红细胞压积、白细胞分类）</w:t>
            </w:r>
          </w:p>
        </w:tc>
        <w:tc>
          <w:tcPr>
            <w:tcW w:w="7305" w:type="dxa"/>
            <w:noWrap w:val="0"/>
            <w:vAlign w:val="center"/>
          </w:tcPr>
          <w:p w14:paraId="204B4FAF">
            <w:pPr>
              <w:spacing w:line="360" w:lineRule="exact"/>
              <w:jc w:val="center"/>
              <w:rPr>
                <w:rFonts w:hint="eastAsia" w:ascii="仿宋_GB2312" w:hAnsi="仿宋_GB2312" w:eastAsia="仿宋_GB2312" w:cs="仿宋_GB2312"/>
                <w:color w:val="000000"/>
                <w:sz w:val="28"/>
                <w:szCs w:val="28"/>
                <w:highlight w:val="none"/>
                <w:u w:val="none"/>
              </w:rPr>
            </w:pPr>
          </w:p>
        </w:tc>
        <w:tc>
          <w:tcPr>
            <w:tcW w:w="1467" w:type="dxa"/>
            <w:vMerge w:val="restart"/>
            <w:noWrap w:val="0"/>
            <w:vAlign w:val="center"/>
          </w:tcPr>
          <w:p w14:paraId="03661935">
            <w:pPr>
              <w:spacing w:line="360" w:lineRule="exact"/>
              <w:jc w:val="center"/>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sz w:val="28"/>
                <w:szCs w:val="28"/>
                <w:highlight w:val="none"/>
                <w:u w:val="none"/>
              </w:rPr>
              <w:t>机构应自主开展的基本检查内容</w:t>
            </w:r>
          </w:p>
        </w:tc>
      </w:tr>
      <w:tr w14:paraId="2297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317" w:type="dxa"/>
            <w:noWrap w:val="0"/>
            <w:vAlign w:val="center"/>
          </w:tcPr>
          <w:p w14:paraId="1CD0F921">
            <w:pPr>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尿常规</w:t>
            </w:r>
          </w:p>
        </w:tc>
        <w:tc>
          <w:tcPr>
            <w:tcW w:w="7305" w:type="dxa"/>
            <w:noWrap w:val="0"/>
            <w:vAlign w:val="center"/>
          </w:tcPr>
          <w:p w14:paraId="6E8E2917">
            <w:pPr>
              <w:spacing w:line="360" w:lineRule="exact"/>
              <w:jc w:val="center"/>
              <w:rPr>
                <w:rFonts w:hint="eastAsia" w:ascii="仿宋_GB2312" w:hAnsi="仿宋_GB2312" w:eastAsia="仿宋_GB2312" w:cs="仿宋_GB2312"/>
                <w:color w:val="000000"/>
                <w:sz w:val="28"/>
                <w:szCs w:val="28"/>
                <w:highlight w:val="none"/>
                <w:u w:val="none"/>
              </w:rPr>
            </w:pPr>
          </w:p>
        </w:tc>
        <w:tc>
          <w:tcPr>
            <w:tcW w:w="1467" w:type="dxa"/>
            <w:vMerge w:val="continue"/>
            <w:noWrap w:val="0"/>
            <w:vAlign w:val="center"/>
          </w:tcPr>
          <w:p w14:paraId="02D546CD">
            <w:pPr>
              <w:spacing w:line="360" w:lineRule="exact"/>
              <w:jc w:val="center"/>
              <w:rPr>
                <w:rFonts w:hint="eastAsia" w:ascii="仿宋_GB2312" w:hAnsi="仿宋_GB2312" w:eastAsia="仿宋_GB2312" w:cs="仿宋_GB2312"/>
                <w:color w:val="000000"/>
                <w:sz w:val="28"/>
                <w:szCs w:val="28"/>
                <w:highlight w:val="none"/>
                <w:u w:val="none"/>
              </w:rPr>
            </w:pPr>
          </w:p>
        </w:tc>
      </w:tr>
      <w:tr w14:paraId="4F12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317" w:type="dxa"/>
            <w:noWrap w:val="0"/>
            <w:vAlign w:val="center"/>
          </w:tcPr>
          <w:p w14:paraId="2E1B72B4">
            <w:pPr>
              <w:spacing w:line="280" w:lineRule="exact"/>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肝功能（包括血清ALT）、肾功能、血糖、血脂、总甘油三酯</w:t>
            </w:r>
          </w:p>
        </w:tc>
        <w:tc>
          <w:tcPr>
            <w:tcW w:w="7305" w:type="dxa"/>
            <w:noWrap w:val="0"/>
            <w:vAlign w:val="center"/>
          </w:tcPr>
          <w:p w14:paraId="5FB2B21F">
            <w:pPr>
              <w:spacing w:line="360" w:lineRule="exact"/>
              <w:jc w:val="center"/>
              <w:rPr>
                <w:rFonts w:hint="eastAsia" w:ascii="仿宋_GB2312" w:hAnsi="仿宋_GB2312" w:eastAsia="仿宋_GB2312" w:cs="仿宋_GB2312"/>
                <w:color w:val="000000"/>
                <w:sz w:val="28"/>
                <w:szCs w:val="28"/>
                <w:highlight w:val="none"/>
                <w:u w:val="none"/>
              </w:rPr>
            </w:pPr>
          </w:p>
        </w:tc>
        <w:tc>
          <w:tcPr>
            <w:tcW w:w="1467" w:type="dxa"/>
            <w:vMerge w:val="continue"/>
            <w:noWrap w:val="0"/>
            <w:vAlign w:val="center"/>
          </w:tcPr>
          <w:p w14:paraId="5DF92CED">
            <w:pPr>
              <w:spacing w:line="360" w:lineRule="exact"/>
              <w:jc w:val="center"/>
              <w:rPr>
                <w:rFonts w:hint="eastAsia" w:ascii="仿宋_GB2312" w:hAnsi="仿宋_GB2312" w:eastAsia="仿宋_GB2312" w:cs="仿宋_GB2312"/>
                <w:color w:val="000000"/>
                <w:sz w:val="28"/>
                <w:szCs w:val="28"/>
                <w:highlight w:val="none"/>
                <w:u w:val="none"/>
              </w:rPr>
            </w:pPr>
          </w:p>
        </w:tc>
      </w:tr>
      <w:tr w14:paraId="3F31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317" w:type="dxa"/>
            <w:noWrap w:val="0"/>
            <w:vAlign w:val="center"/>
          </w:tcPr>
          <w:p w14:paraId="72E9A36F">
            <w:pPr>
              <w:spacing w:line="280" w:lineRule="exact"/>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心电图</w:t>
            </w:r>
          </w:p>
        </w:tc>
        <w:tc>
          <w:tcPr>
            <w:tcW w:w="7305" w:type="dxa"/>
            <w:noWrap w:val="0"/>
            <w:vAlign w:val="center"/>
          </w:tcPr>
          <w:p w14:paraId="78C9CC82">
            <w:pPr>
              <w:spacing w:line="360" w:lineRule="exact"/>
              <w:jc w:val="center"/>
              <w:rPr>
                <w:rFonts w:hint="eastAsia" w:ascii="仿宋_GB2312" w:hAnsi="仿宋_GB2312" w:eastAsia="仿宋_GB2312" w:cs="仿宋_GB2312"/>
                <w:color w:val="000000"/>
                <w:sz w:val="28"/>
                <w:szCs w:val="28"/>
                <w:highlight w:val="none"/>
                <w:u w:val="none"/>
              </w:rPr>
            </w:pPr>
          </w:p>
        </w:tc>
        <w:tc>
          <w:tcPr>
            <w:tcW w:w="1467" w:type="dxa"/>
            <w:vMerge w:val="continue"/>
            <w:noWrap w:val="0"/>
            <w:vAlign w:val="center"/>
          </w:tcPr>
          <w:p w14:paraId="3DFEDCF6">
            <w:pPr>
              <w:spacing w:line="360" w:lineRule="exact"/>
              <w:jc w:val="center"/>
              <w:rPr>
                <w:rFonts w:hint="eastAsia" w:ascii="仿宋_GB2312" w:hAnsi="仿宋_GB2312" w:eastAsia="仿宋_GB2312" w:cs="仿宋_GB2312"/>
                <w:color w:val="000000"/>
                <w:sz w:val="28"/>
                <w:szCs w:val="28"/>
                <w:highlight w:val="none"/>
                <w:u w:val="none"/>
              </w:rPr>
            </w:pPr>
          </w:p>
        </w:tc>
      </w:tr>
      <w:tr w14:paraId="36AA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317" w:type="dxa"/>
            <w:vMerge w:val="restart"/>
            <w:noWrap w:val="0"/>
            <w:vAlign w:val="center"/>
          </w:tcPr>
          <w:p w14:paraId="7E32FED0">
            <w:pPr>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鼻窦、下颌骨、颈椎、骨盆、四肢、胸部X射线摄片，DR胸片</w:t>
            </w:r>
          </w:p>
        </w:tc>
        <w:tc>
          <w:tcPr>
            <w:tcW w:w="7305" w:type="dxa"/>
            <w:noWrap w:val="0"/>
            <w:vAlign w:val="center"/>
          </w:tcPr>
          <w:p w14:paraId="6A90145B">
            <w:pPr>
              <w:spacing w:line="360" w:lineRule="exact"/>
              <w:jc w:val="center"/>
              <w:rPr>
                <w:rFonts w:hint="eastAsia" w:ascii="仿宋_GB2312" w:hAnsi="仿宋_GB2312" w:eastAsia="仿宋_GB2312" w:cs="仿宋_GB2312"/>
                <w:color w:val="000000"/>
                <w:sz w:val="28"/>
                <w:szCs w:val="28"/>
                <w:highlight w:val="none"/>
                <w:u w:val="none"/>
              </w:rPr>
            </w:pPr>
          </w:p>
        </w:tc>
        <w:tc>
          <w:tcPr>
            <w:tcW w:w="1467" w:type="dxa"/>
            <w:vMerge w:val="continue"/>
            <w:noWrap w:val="0"/>
            <w:vAlign w:val="center"/>
          </w:tcPr>
          <w:p w14:paraId="23FD7B31">
            <w:pPr>
              <w:spacing w:line="360" w:lineRule="exact"/>
              <w:jc w:val="center"/>
              <w:rPr>
                <w:rFonts w:hint="eastAsia" w:ascii="仿宋_GB2312" w:hAnsi="仿宋_GB2312" w:eastAsia="仿宋_GB2312" w:cs="仿宋_GB2312"/>
                <w:color w:val="000000"/>
                <w:sz w:val="28"/>
                <w:szCs w:val="28"/>
                <w:highlight w:val="none"/>
                <w:u w:val="none"/>
              </w:rPr>
            </w:pPr>
          </w:p>
        </w:tc>
      </w:tr>
      <w:tr w14:paraId="4E31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317" w:type="dxa"/>
            <w:vMerge w:val="continue"/>
            <w:noWrap w:val="0"/>
            <w:vAlign w:val="center"/>
          </w:tcPr>
          <w:p w14:paraId="77FDA5D3">
            <w:pPr>
              <w:spacing w:line="360" w:lineRule="exact"/>
              <w:jc w:val="center"/>
              <w:rPr>
                <w:rFonts w:hint="eastAsia" w:ascii="仿宋_GB2312" w:hAnsi="仿宋_GB2312" w:eastAsia="仿宋_GB2312" w:cs="仿宋_GB2312"/>
                <w:color w:val="000000"/>
                <w:sz w:val="28"/>
                <w:szCs w:val="28"/>
                <w:highlight w:val="none"/>
                <w:u w:val="none"/>
              </w:rPr>
            </w:pPr>
          </w:p>
        </w:tc>
        <w:tc>
          <w:tcPr>
            <w:tcW w:w="7305" w:type="dxa"/>
            <w:noWrap w:val="0"/>
            <w:vAlign w:val="center"/>
          </w:tcPr>
          <w:p w14:paraId="598DEFFC">
            <w:pPr>
              <w:spacing w:line="360" w:lineRule="exact"/>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sz w:val="28"/>
                <w:szCs w:val="28"/>
                <w:highlight w:val="none"/>
                <w:u w:val="none"/>
              </w:rPr>
              <w:t>□</w:t>
            </w:r>
            <w:r>
              <w:rPr>
                <w:rFonts w:hint="eastAsia" w:ascii="仿宋_GB2312" w:hAnsi="仿宋_GB2312" w:eastAsia="仿宋_GB2312" w:cs="仿宋_GB2312"/>
                <w:bCs/>
                <w:color w:val="000000"/>
                <w:sz w:val="28"/>
                <w:szCs w:val="28"/>
                <w:highlight w:val="none"/>
                <w:u w:val="none"/>
              </w:rPr>
              <w:t>设备已取得放射诊疗许可；</w:t>
            </w:r>
            <w:r>
              <w:rPr>
                <w:rFonts w:hint="eastAsia" w:ascii="仿宋_GB2312" w:hAnsi="仿宋_GB2312" w:eastAsia="仿宋_GB2312" w:cs="仿宋_GB2312"/>
                <w:color w:val="000000"/>
                <w:sz w:val="28"/>
                <w:szCs w:val="28"/>
                <w:highlight w:val="none"/>
                <w:u w:val="none"/>
              </w:rPr>
              <w:t>□</w:t>
            </w:r>
            <w:r>
              <w:rPr>
                <w:rFonts w:hint="eastAsia" w:ascii="仿宋_GB2312" w:hAnsi="仿宋_GB2312" w:eastAsia="仿宋_GB2312" w:cs="仿宋_GB2312"/>
                <w:bCs/>
                <w:color w:val="000000"/>
                <w:sz w:val="28"/>
                <w:szCs w:val="28"/>
                <w:highlight w:val="none"/>
                <w:u w:val="none"/>
              </w:rPr>
              <w:t xml:space="preserve">已购置尘肺病诊断标准片      </w:t>
            </w:r>
          </w:p>
        </w:tc>
        <w:tc>
          <w:tcPr>
            <w:tcW w:w="1467" w:type="dxa"/>
            <w:vMerge w:val="continue"/>
            <w:noWrap w:val="0"/>
            <w:vAlign w:val="center"/>
          </w:tcPr>
          <w:p w14:paraId="1BC9FA9B">
            <w:pPr>
              <w:spacing w:line="360" w:lineRule="exact"/>
              <w:rPr>
                <w:rFonts w:hint="eastAsia" w:ascii="仿宋_GB2312" w:hAnsi="仿宋_GB2312" w:eastAsia="仿宋_GB2312" w:cs="仿宋_GB2312"/>
                <w:color w:val="000000"/>
                <w:sz w:val="28"/>
                <w:szCs w:val="28"/>
                <w:highlight w:val="none"/>
                <w:u w:val="none"/>
              </w:rPr>
            </w:pPr>
          </w:p>
        </w:tc>
      </w:tr>
      <w:tr w14:paraId="7EDF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317" w:type="dxa"/>
            <w:vMerge w:val="continue"/>
            <w:noWrap w:val="0"/>
            <w:vAlign w:val="center"/>
          </w:tcPr>
          <w:p w14:paraId="2F6C00EB">
            <w:pPr>
              <w:spacing w:line="360" w:lineRule="exact"/>
              <w:jc w:val="center"/>
              <w:rPr>
                <w:rFonts w:hint="eastAsia" w:ascii="仿宋_GB2312" w:hAnsi="仿宋_GB2312" w:eastAsia="仿宋_GB2312" w:cs="仿宋_GB2312"/>
                <w:color w:val="000000"/>
                <w:sz w:val="28"/>
                <w:szCs w:val="28"/>
                <w:highlight w:val="none"/>
                <w:u w:val="none"/>
              </w:rPr>
            </w:pPr>
          </w:p>
        </w:tc>
        <w:tc>
          <w:tcPr>
            <w:tcW w:w="7305" w:type="dxa"/>
            <w:noWrap w:val="0"/>
            <w:vAlign w:val="center"/>
          </w:tcPr>
          <w:p w14:paraId="1410D74C">
            <w:pPr>
              <w:spacing w:line="360" w:lineRule="exact"/>
              <w:rPr>
                <w:rFonts w:hint="eastAsia" w:ascii="仿宋_GB2312" w:hAnsi="仿宋_GB2312" w:eastAsia="仿宋_GB2312" w:cs="仿宋_GB2312"/>
                <w:color w:val="000000"/>
                <w:sz w:val="28"/>
                <w:szCs w:val="28"/>
                <w:highlight w:val="none"/>
                <w:u w:val="none"/>
              </w:rPr>
            </w:pPr>
            <w:r>
              <w:rPr>
                <w:rFonts w:hint="eastAsia" w:ascii="仿宋_GB2312" w:hAnsi="仿宋_GB2312" w:eastAsia="仿宋_GB2312" w:cs="仿宋_GB2312"/>
                <w:color w:val="000000"/>
                <w:sz w:val="28"/>
                <w:szCs w:val="28"/>
                <w:highlight w:val="none"/>
                <w:u w:val="none"/>
              </w:rPr>
              <w:t>□已配</w:t>
            </w:r>
            <w:r>
              <w:rPr>
                <w:rFonts w:hint="eastAsia" w:ascii="仿宋_GB2312" w:hAnsi="仿宋_GB2312" w:eastAsia="仿宋_GB2312" w:cs="仿宋_GB2312"/>
                <w:bCs/>
                <w:color w:val="000000"/>
                <w:sz w:val="28"/>
                <w:szCs w:val="28"/>
                <w:highlight w:val="none"/>
                <w:u w:val="none"/>
              </w:rPr>
              <w:t>置符合胸片阅片要求的观片灯或显示器</w:t>
            </w:r>
          </w:p>
        </w:tc>
        <w:tc>
          <w:tcPr>
            <w:tcW w:w="1467" w:type="dxa"/>
            <w:vMerge w:val="continue"/>
            <w:noWrap w:val="0"/>
            <w:vAlign w:val="center"/>
          </w:tcPr>
          <w:p w14:paraId="7238623D">
            <w:pPr>
              <w:spacing w:line="360" w:lineRule="exact"/>
              <w:rPr>
                <w:rFonts w:hint="eastAsia" w:ascii="仿宋_GB2312" w:hAnsi="仿宋_GB2312" w:eastAsia="仿宋_GB2312" w:cs="仿宋_GB2312"/>
                <w:color w:val="000000"/>
                <w:sz w:val="28"/>
                <w:szCs w:val="28"/>
                <w:highlight w:val="none"/>
                <w:u w:val="none"/>
              </w:rPr>
            </w:pPr>
          </w:p>
        </w:tc>
      </w:tr>
      <w:tr w14:paraId="2268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317" w:type="dxa"/>
            <w:noWrap w:val="0"/>
            <w:vAlign w:val="center"/>
          </w:tcPr>
          <w:p w14:paraId="14E77330">
            <w:pPr>
              <w:spacing w:line="280" w:lineRule="exact"/>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腹部B超或彩超</w:t>
            </w:r>
          </w:p>
        </w:tc>
        <w:tc>
          <w:tcPr>
            <w:tcW w:w="7305" w:type="dxa"/>
            <w:noWrap w:val="0"/>
            <w:vAlign w:val="center"/>
          </w:tcPr>
          <w:p w14:paraId="777B4BF2">
            <w:pPr>
              <w:spacing w:line="360" w:lineRule="exact"/>
              <w:jc w:val="center"/>
              <w:rPr>
                <w:rFonts w:hint="eastAsia" w:ascii="仿宋_GB2312" w:hAnsi="仿宋_GB2312" w:eastAsia="仿宋_GB2312" w:cs="仿宋_GB2312"/>
                <w:color w:val="000000"/>
                <w:sz w:val="28"/>
                <w:szCs w:val="28"/>
                <w:highlight w:val="none"/>
                <w:u w:val="none"/>
              </w:rPr>
            </w:pPr>
          </w:p>
        </w:tc>
        <w:tc>
          <w:tcPr>
            <w:tcW w:w="1467" w:type="dxa"/>
            <w:vMerge w:val="continue"/>
            <w:noWrap w:val="0"/>
            <w:vAlign w:val="center"/>
          </w:tcPr>
          <w:p w14:paraId="5CF7364C">
            <w:pPr>
              <w:spacing w:line="360" w:lineRule="exact"/>
              <w:jc w:val="center"/>
              <w:rPr>
                <w:rFonts w:hint="eastAsia" w:ascii="仿宋_GB2312" w:hAnsi="仿宋_GB2312" w:eastAsia="仿宋_GB2312" w:cs="仿宋_GB2312"/>
                <w:color w:val="000000"/>
                <w:sz w:val="28"/>
                <w:szCs w:val="28"/>
                <w:highlight w:val="none"/>
                <w:u w:val="none"/>
              </w:rPr>
            </w:pPr>
          </w:p>
        </w:tc>
      </w:tr>
      <w:tr w14:paraId="651B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17" w:type="dxa"/>
            <w:noWrap w:val="0"/>
            <w:vAlign w:val="center"/>
          </w:tcPr>
          <w:p w14:paraId="181B743A">
            <w:pPr>
              <w:spacing w:line="280" w:lineRule="exact"/>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肺功能</w:t>
            </w:r>
          </w:p>
        </w:tc>
        <w:tc>
          <w:tcPr>
            <w:tcW w:w="7305" w:type="dxa"/>
            <w:noWrap w:val="0"/>
            <w:vAlign w:val="center"/>
          </w:tcPr>
          <w:p w14:paraId="6F094753">
            <w:pPr>
              <w:spacing w:line="360" w:lineRule="exact"/>
              <w:jc w:val="center"/>
              <w:rPr>
                <w:rFonts w:hint="eastAsia" w:ascii="仿宋_GB2312" w:hAnsi="仿宋_GB2312" w:eastAsia="仿宋_GB2312" w:cs="仿宋_GB2312"/>
                <w:color w:val="000000"/>
                <w:sz w:val="28"/>
                <w:szCs w:val="28"/>
                <w:highlight w:val="none"/>
                <w:u w:val="none"/>
              </w:rPr>
            </w:pPr>
          </w:p>
        </w:tc>
        <w:tc>
          <w:tcPr>
            <w:tcW w:w="1467" w:type="dxa"/>
            <w:vMerge w:val="continue"/>
            <w:noWrap w:val="0"/>
            <w:vAlign w:val="center"/>
          </w:tcPr>
          <w:p w14:paraId="05FB6ED7">
            <w:pPr>
              <w:spacing w:line="360" w:lineRule="exact"/>
              <w:jc w:val="center"/>
              <w:rPr>
                <w:rFonts w:hint="eastAsia" w:ascii="仿宋_GB2312" w:hAnsi="仿宋_GB2312" w:eastAsia="仿宋_GB2312" w:cs="仿宋_GB2312"/>
                <w:color w:val="000000"/>
                <w:sz w:val="28"/>
                <w:szCs w:val="28"/>
                <w:highlight w:val="none"/>
                <w:u w:val="none"/>
              </w:rPr>
            </w:pPr>
          </w:p>
        </w:tc>
      </w:tr>
      <w:tr w14:paraId="716B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317" w:type="dxa"/>
            <w:noWrap w:val="0"/>
            <w:vAlign w:val="center"/>
          </w:tcPr>
          <w:p w14:paraId="06C627FD">
            <w:pPr>
              <w:spacing w:line="360" w:lineRule="exact"/>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眼科检查（含视力、角膜、结膜、色觉、眼底、晶体等检查）</w:t>
            </w:r>
          </w:p>
        </w:tc>
        <w:tc>
          <w:tcPr>
            <w:tcW w:w="7305" w:type="dxa"/>
            <w:noWrap w:val="0"/>
            <w:vAlign w:val="center"/>
          </w:tcPr>
          <w:p w14:paraId="49696717">
            <w:pPr>
              <w:spacing w:line="360" w:lineRule="exact"/>
              <w:jc w:val="center"/>
              <w:rPr>
                <w:rFonts w:hint="eastAsia" w:ascii="仿宋_GB2312" w:hAnsi="仿宋_GB2312" w:eastAsia="仿宋_GB2312" w:cs="仿宋_GB2312"/>
                <w:color w:val="000000"/>
                <w:sz w:val="28"/>
                <w:szCs w:val="28"/>
                <w:highlight w:val="none"/>
                <w:u w:val="none"/>
              </w:rPr>
            </w:pPr>
          </w:p>
        </w:tc>
        <w:tc>
          <w:tcPr>
            <w:tcW w:w="1467" w:type="dxa"/>
            <w:vMerge w:val="continue"/>
            <w:noWrap w:val="0"/>
            <w:vAlign w:val="center"/>
          </w:tcPr>
          <w:p w14:paraId="21DE257F">
            <w:pPr>
              <w:spacing w:line="360" w:lineRule="exact"/>
              <w:jc w:val="center"/>
              <w:rPr>
                <w:rFonts w:hint="eastAsia" w:ascii="仿宋_GB2312" w:hAnsi="仿宋_GB2312" w:eastAsia="仿宋_GB2312" w:cs="仿宋_GB2312"/>
                <w:color w:val="000000"/>
                <w:sz w:val="28"/>
                <w:szCs w:val="28"/>
                <w:highlight w:val="none"/>
                <w:u w:val="none"/>
              </w:rPr>
            </w:pPr>
          </w:p>
        </w:tc>
      </w:tr>
      <w:tr w14:paraId="6272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317" w:type="dxa"/>
            <w:noWrap w:val="0"/>
            <w:vAlign w:val="center"/>
          </w:tcPr>
          <w:p w14:paraId="5DC602B0">
            <w:pPr>
              <w:spacing w:line="280" w:lineRule="exact"/>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耳鼻咽喉及口腔检查</w:t>
            </w:r>
          </w:p>
        </w:tc>
        <w:tc>
          <w:tcPr>
            <w:tcW w:w="7305" w:type="dxa"/>
            <w:noWrap w:val="0"/>
            <w:vAlign w:val="center"/>
          </w:tcPr>
          <w:p w14:paraId="5E8EDF53">
            <w:pPr>
              <w:spacing w:line="360" w:lineRule="exact"/>
              <w:jc w:val="center"/>
              <w:rPr>
                <w:rFonts w:hint="eastAsia" w:ascii="仿宋_GB2312" w:hAnsi="仿宋_GB2312" w:eastAsia="仿宋_GB2312" w:cs="仿宋_GB2312"/>
                <w:color w:val="000000"/>
                <w:sz w:val="28"/>
                <w:szCs w:val="28"/>
                <w:highlight w:val="none"/>
                <w:u w:val="none"/>
              </w:rPr>
            </w:pPr>
          </w:p>
        </w:tc>
        <w:tc>
          <w:tcPr>
            <w:tcW w:w="1467" w:type="dxa"/>
            <w:vMerge w:val="continue"/>
            <w:noWrap w:val="0"/>
            <w:vAlign w:val="center"/>
          </w:tcPr>
          <w:p w14:paraId="7E118E57">
            <w:pPr>
              <w:spacing w:line="360" w:lineRule="exact"/>
              <w:jc w:val="center"/>
              <w:rPr>
                <w:rFonts w:hint="eastAsia" w:ascii="仿宋_GB2312" w:hAnsi="仿宋_GB2312" w:eastAsia="仿宋_GB2312" w:cs="仿宋_GB2312"/>
                <w:color w:val="000000"/>
                <w:sz w:val="28"/>
                <w:szCs w:val="28"/>
                <w:highlight w:val="none"/>
                <w:u w:val="none"/>
              </w:rPr>
            </w:pPr>
          </w:p>
        </w:tc>
      </w:tr>
      <w:tr w14:paraId="00D1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22" w:type="dxa"/>
            <w:gridSpan w:val="2"/>
            <w:noWrap w:val="0"/>
            <w:vAlign w:val="center"/>
          </w:tcPr>
          <w:p w14:paraId="270F9E68">
            <w:pPr>
              <w:spacing w:line="360" w:lineRule="exact"/>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生物材料检测（血铅、尿铅、尿汞、尿镉、尿砷、发砷、尿氟、尿铊）</w:t>
            </w:r>
          </w:p>
        </w:tc>
        <w:tc>
          <w:tcPr>
            <w:tcW w:w="1467" w:type="dxa"/>
            <w:vMerge w:val="restart"/>
            <w:noWrap w:val="0"/>
            <w:vAlign w:val="center"/>
          </w:tcPr>
          <w:p w14:paraId="386380C9">
            <w:pPr>
              <w:spacing w:line="360" w:lineRule="exact"/>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可委托的实验室检查内容</w:t>
            </w:r>
          </w:p>
        </w:tc>
      </w:tr>
      <w:tr w14:paraId="4611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622" w:type="dxa"/>
            <w:gridSpan w:val="2"/>
            <w:noWrap w:val="0"/>
            <w:vAlign w:val="center"/>
          </w:tcPr>
          <w:p w14:paraId="42F44CD9">
            <w:pPr>
              <w:spacing w:line="360" w:lineRule="exact"/>
              <w:rPr>
                <w:rFonts w:hint="eastAsia" w:ascii="仿宋_GB2312" w:hAnsi="仿宋_GB2312" w:eastAsia="仿宋_GB2312" w:cs="仿宋_GB2312"/>
                <w:bCs/>
                <w:color w:val="000000"/>
                <w:sz w:val="28"/>
                <w:szCs w:val="28"/>
                <w:highlight w:val="none"/>
                <w:u w:val="none"/>
              </w:rPr>
            </w:pPr>
            <w:r>
              <w:rPr>
                <w:rFonts w:hint="eastAsia" w:ascii="仿宋_GB2312" w:hAnsi="仿宋_GB2312" w:eastAsia="仿宋_GB2312" w:cs="仿宋_GB2312"/>
                <w:bCs/>
                <w:color w:val="000000"/>
                <w:sz w:val="28"/>
                <w:szCs w:val="28"/>
                <w:highlight w:val="none"/>
                <w:u w:val="none"/>
              </w:rPr>
              <w:t>尿β2-微球蛋白、α2-微球蛋白、尿视黄醇结合蛋白、血清葡萄糖-6-磷酸脱氢酶缺乏症筛查试验</w:t>
            </w:r>
          </w:p>
        </w:tc>
        <w:tc>
          <w:tcPr>
            <w:tcW w:w="1467" w:type="dxa"/>
            <w:vMerge w:val="continue"/>
            <w:noWrap w:val="0"/>
            <w:vAlign w:val="center"/>
          </w:tcPr>
          <w:p w14:paraId="10A94B38">
            <w:pPr>
              <w:spacing w:line="360" w:lineRule="exact"/>
              <w:rPr>
                <w:rFonts w:hint="eastAsia" w:ascii="仿宋_GB2312" w:hAnsi="仿宋_GB2312" w:eastAsia="仿宋_GB2312" w:cs="仿宋_GB2312"/>
                <w:bCs/>
                <w:color w:val="000000"/>
                <w:sz w:val="28"/>
                <w:szCs w:val="28"/>
                <w:highlight w:val="none"/>
                <w:u w:val="none"/>
              </w:rPr>
            </w:pPr>
          </w:p>
        </w:tc>
      </w:tr>
    </w:tbl>
    <w:p w14:paraId="6AE62047">
      <w:pPr>
        <w:ind w:left="480" w:hanging="480" w:hangingChars="200"/>
      </w:pPr>
      <w:r>
        <w:rPr>
          <w:rFonts w:hint="eastAsia" w:ascii="仿宋_GB2312" w:hAnsi="仿宋_GB2312" w:eastAsia="仿宋_GB2312" w:cs="仿宋_GB2312"/>
          <w:color w:val="000000"/>
          <w:sz w:val="24"/>
          <w:highlight w:val="none"/>
          <w:u w:val="none"/>
        </w:rPr>
        <w:t>注：</w:t>
      </w:r>
      <w:r>
        <w:rPr>
          <w:rFonts w:hint="eastAsia" w:ascii="仿宋_GB2312" w:hAnsi="仿宋_GB2312" w:eastAsia="仿宋_GB2312" w:cs="仿宋_GB2312"/>
          <w:bCs/>
          <w:color w:val="000000"/>
          <w:sz w:val="24"/>
          <w:highlight w:val="none"/>
          <w:u w:val="none"/>
        </w:rPr>
        <w:t>申请职业健康检查机构备案的医疗卫生机构应具备与检查项目相对应的诊疗科目，并有与开展基本检查内容(不可委托)</w:t>
      </w:r>
      <w:r>
        <w:rPr>
          <w:rFonts w:hint="eastAsia" w:ascii="仿宋_GB2312" w:hAnsi="仿宋_GB2312" w:eastAsia="仿宋_GB2312" w:cs="仿宋_GB2312"/>
          <w:color w:val="000000"/>
          <w:highlight w:val="none"/>
          <w:u w:val="none"/>
        </w:rPr>
        <w:t xml:space="preserve"> </w:t>
      </w:r>
      <w:r>
        <w:rPr>
          <w:rFonts w:hint="eastAsia" w:ascii="仿宋_GB2312" w:hAnsi="仿宋_GB2312" w:eastAsia="仿宋_GB2312" w:cs="仿宋_GB2312"/>
          <w:bCs/>
          <w:color w:val="000000"/>
          <w:sz w:val="24"/>
          <w:highlight w:val="none"/>
          <w:u w:val="none"/>
        </w:rPr>
        <w:t>相适应的专业技术人员、仪器、设备和场所</w:t>
      </w:r>
      <w:r>
        <w:rPr>
          <w:rFonts w:hint="eastAsia" w:ascii="仿宋_GB2312" w:hAnsi="仿宋_GB2312" w:eastAsia="仿宋_GB2312" w:cs="仿宋_GB2312"/>
          <w:bCs/>
          <w:color w:val="000000"/>
          <w:sz w:val="24"/>
          <w:highlight w:val="none"/>
          <w:u w:val="none"/>
          <w:lang w:eastAsia="zh-CN"/>
        </w:rPr>
        <w:t>。</w:t>
      </w:r>
      <w:bookmarkStart w:id="0" w:name="_GoBack"/>
      <w:bookmarkEnd w:id="0"/>
    </w:p>
    <w:sectPr>
      <w:footerReference r:id="rId3" w:type="default"/>
      <w:pgSz w:w="16838" w:h="11906" w:orient="landscape"/>
      <w:pgMar w:top="1440" w:right="1080" w:bottom="1440" w:left="1080" w:header="851" w:footer="992" w:gutter="0"/>
      <w:pgNumType w:fmt="decimal" w:start="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89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DFD15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DDFD15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738F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2024-08-06T01:44:32Z</dcterms:created>
  <dc:creator>Administrator</dc:creator>
  <cp:lastModifiedBy>小蛋蛋</cp:lastModifiedBy>
  <dcterms:modified xsi:type="dcterms:W3CDTF">2024-08-06T01:44:58Z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C63DC5BB69694CB9B26AC730066AF092_12</vt:lpwstr>
  </property>
</Properties>
</file>