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年度评估指标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519"/>
        <w:gridCol w:w="1203"/>
        <w:gridCol w:w="129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指标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2023年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2024年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全院病区护士与实际开放床位比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二级医院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：1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0.4：1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0.5：1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三级医院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：1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0.5：1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0.5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责任制整体护理覆盖率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一、二级医院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90%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95%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三级医院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100%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100%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新入职护士参加培训比例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二级医院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≥90%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≥90%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三级医院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≥95%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≥95%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专科护士培养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全省每年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增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专科护士培训数量（人）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300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350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临床护理岗位护士数量占全院护士数量比例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≥90%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≥95%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基层医疗机构从事工作人员护士数（人）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万</w:t>
            </w:r>
          </w:p>
        </w:tc>
        <w:tc>
          <w:tcPr>
            <w:tcW w:w="71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4.8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万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.0万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互联网+护理服务</w:t>
            </w: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开展机构数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上门护理服务项目数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岗前培训合格率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3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质量评价达标率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提供延续性护理服务病区数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分级护理落实合格率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专科护理助力基层开展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次数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无陪护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试点病区数</w:t>
            </w:r>
          </w:p>
        </w:tc>
        <w:tc>
          <w:tcPr>
            <w:tcW w:w="20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逐年增加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1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6BA27AF"/>
    <w:rsid w:val="07C17B6D"/>
    <w:rsid w:val="17135C2A"/>
    <w:rsid w:val="180E353B"/>
    <w:rsid w:val="285048C9"/>
    <w:rsid w:val="48425B85"/>
    <w:rsid w:val="683A01CF"/>
    <w:rsid w:val="75436915"/>
    <w:rsid w:val="76913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2023-08-25T08:29:42Z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65AEA3A173A74E88A9F5599663EC11F3_12</vt:lpwstr>
  </property>
</Properties>
</file>