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省中医药文化宣传教育基地建设标准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一、范围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省中医药文化宣传教育基地建设标准》（以下简称《标准》）适用于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省中医药文化宣传教育基地。</w:t>
      </w:r>
    </w:p>
    <w:p>
      <w:pPr>
        <w:spacing w:line="600" w:lineRule="exact"/>
        <w:ind w:firstLine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二、依据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共中央、国务院关于促进中医药传承创新发展的意见》《福建省促进中医药传承创新发展若干措施》《全国中医药文化宣传教育基地管理暂行办法》及《全国中医药文化宣传教育基地基本标准（2019版）》等有关文件要求，制定本标准。</w:t>
      </w:r>
    </w:p>
    <w:p>
      <w:pPr>
        <w:spacing w:line="600" w:lineRule="exact"/>
        <w:ind w:firstLine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三、功能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中医药文化基地是传承、展示中医药文化的平台，是宣传中医药文化的阵地，是中医药工作者、院校学生接受中医药传统文化和医德医风教育的课堂，是向人民群众普及中医药知识、加强中医药对外交流的窗口。</w:t>
      </w:r>
    </w:p>
    <w:p>
      <w:pPr>
        <w:spacing w:line="600" w:lineRule="exact"/>
        <w:ind w:firstLine="6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四、形式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医药文化基地以各类中医药资源为依托，以多种形式为载体，紧密围绕中医药文化主题和特色开展工作。凡符合基地标准和要求、具备成熟完善的中医药文化宣传教育功能和能力、具有中医药文化显著特色、在社会上有较大影响力的中医药相关机构，均可开展基地建设，例如，中医药博物馆、中医药历史遗迹遗址、教育机构、医疗机构和生产企业的中医药文化展馆、中药企业（包括生产、种植、养殖、加工等企业）、中医药养生体验馆等。鼓励和支持具有创新价值的机构形式开展基地建设，不断拓展中医药文化基地的内涵，丰富基地展示的形式和手段，扩大中医药文化基地的社会影响力。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五、标准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（一）具备丰富的中医药文化内涵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具有与本基地相关并有一定社会影响力的典故、传说、事迹等，以展示中医药文化为主题，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</w:rPr>
        <w:t>突出本基地的特色优势，开展有特色的中医药文化传播服务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（二）具备专门的中医药文化专题展示场所，场所面积须适应广大群众不断增长的中医药文化科普需求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场馆类基地，专用参观场所展厅面积原则上不小于1000平方米；遗址遗迹类基地，展示面积原则上不少于5000平方米；教育科研机构类基地，室外展教场所面积原则上不少于3000平方米，室内展教场所面积原则上不少于300平方米；医疗机构类基地，展教场所面积不少于1000平方米；企业类基地，宣传教育展厅原则上不少于300平方米。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（三）具备开展中医药文化宣传教育活动所需的配套设施和外围环境，并根据工作需要适时完善、更新；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（四）面向社会开放，在当地具有一定的知名度和社会影响力，具有相应的接待能力，每年接待参观不少于8000人次，每年开放时间不少于200天；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（五）能够结合本基地实际，开展形式多样、具有一定社会影响力的中医药文化宣传和学术交流活动，每年不少于4次；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（六）具备专业的宣教队伍，宣教人员应具备中医药类专业学历或接受过专门的中医药知识培训；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（七）建有介绍本基地的中医药文化网站、微博或微信公众号等，内容丰富，形式生动活泼，内容更新间隔应小于1个月；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（八）具有与本基地相关的文化产品，产品（如研究论著、科普读物、综合画册、音像制品、导游图和导游材料等）中医药特色突出，内容丰富，适时更新，有本基地的特色；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（九）设有专门的中医药文化基地管理部门，配有专职管理人员，能够对基地建设、运行、维护开展日常管理；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（十）具备健全规范的中医药文化基地管理制度，每年度均制定基地工作计划，按时上报年度自查自评报告；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（十一）具备保护和发展中医药文化基地的经费和保障措施。</w:t>
      </w:r>
    </w:p>
    <w:p>
      <w:pPr>
        <w:spacing w:line="600" w:lineRule="exact"/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90" w:lineRule="exact"/>
        <w:ind w:left="1260" w:leftChars="100" w:right="210" w:rightChars="100" w:hanging="1050" w:hangingChars="375"/>
      </w:pPr>
      <w:r>
        <w:rPr>
          <w:rFonts w:hint="eastAsia" w:ascii="仿宋_GB2312" w:eastAsia="仿宋_GB2312"/>
          <w:sz w:val="28"/>
          <w:szCs w:val="28"/>
        </w:rPr>
        <w:t>抄送：</w:t>
      </w:r>
      <w:bookmarkStart w:id="0" w:name="copydelivery"/>
      <w:r>
        <w:rPr>
          <w:rFonts w:hint="eastAsia" w:ascii="仿宋_GB2312" w:eastAsia="仿宋_GB2312"/>
          <w:sz w:val="28"/>
          <w:szCs w:val="28"/>
          <w:lang w:eastAsia="zh-CN"/>
        </w:rPr>
        <w:t>国家中医药管理局办公室，福建中医药大学，福建省中医药学会，福建省中西医结合学会，福建省针灸学会，福建省中药材产业协会</w:t>
      </w:r>
      <w:bookmarkEnd w:id="0"/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Kf5/1wAAAAwBAAAPAAAAAAAAAAEAIAAAACIAAABk&#10;cnMvZG93bnJldi54bWxQSwECFAAUAAAACACHTuJAAStORM4BAACZAwAADgAAAAAAAAABACAAAAAm&#10;AQAAZHJzL2Uyb0RvYy54bWxQSwUGAAAAAAYABgBZAQAAZg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+jf3zZAAAADQEAAA8AAAAAAAAAAQAgAAAAIgAA&#10;AGRycy9kb3ducmV2LnhtbFBLAQIUABQAAAAIAIdO4kBdSd74zgEAAJkDAAAOAAAAAAAAAAEAIAAA&#10;ACgBAABkcnMvZTJvRG9jLnhtbFBLBQYAAAAABgAGAFkBAABo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CQPmnAAAIAAP4D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bookmarkStart w:id="1" w:name="_GoBack"/>
      <w:bookmarkEnd w:id="1"/>
    </w:p>
    <w:sectPr>
      <w:footerReference r:id="rId3" w:type="default"/>
      <w:pgSz w:w="11906" w:h="16838"/>
      <w:pgMar w:top="1814" w:right="1587" w:bottom="1701" w:left="1587" w:header="851" w:footer="1417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F787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2022-11-15T01:54:47Z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0345CA3A8EDA49B18EA4FE67CC2B843D</vt:lpwstr>
  </property>
</Properties>
</file>