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用人单位职业病危害综合风险评估方法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_GB2312" w:cs="等线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用人单位根据职业病危害风险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分级</w:t>
      </w:r>
      <w:r>
        <w:rPr>
          <w:rFonts w:hint="eastAsia" w:ascii="仿宋_GB2312" w:hAnsi="仿宋_GB2312" w:eastAsia="仿宋_GB2312" w:cs="仿宋_GB2312"/>
          <w:sz w:val="32"/>
          <w:szCs w:val="32"/>
        </w:rPr>
        <w:t>和职业卫生管理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分级结果评估职业病危害综合风险类别，分为甲类、乙类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三类风险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，其中甲类风险最低，丙类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最高。具体方法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用人单位职业病危害综合风险评估方法</w:t>
      </w:r>
    </w:p>
    <w:p>
      <w:pPr>
        <w:pStyle w:val="6"/>
        <w:rPr>
          <w:rFonts w:hint="eastAsia"/>
        </w:rPr>
      </w:pPr>
    </w:p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113"/>
        <w:gridCol w:w="1938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tblHeader/>
          <w:jc w:val="center"/>
        </w:trPr>
        <w:tc>
          <w:tcPr>
            <w:tcW w:w="2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职业卫生管理状况等级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职业病危害风险等级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tblHeader/>
          <w:jc w:val="center"/>
        </w:trPr>
        <w:tc>
          <w:tcPr>
            <w:tcW w:w="2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Ⅰ级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Ⅱ级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A级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B级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C级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outlineLvl w:val="1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59" w:bottom="1440" w:left="1559" w:header="851" w:footer="1417" w:gutter="0"/>
      <w:pgNumType w:fmt="decimal"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黑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2022-11-01T09:09:24Z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