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adjustRightInd w:val="0"/>
        <w:snapToGrid w:val="0"/>
        <w:spacing w:before="156" w:beforeLines="50" w:after="156" w:afterLines="50" w:line="360" w:lineRule="auto"/>
        <w:outlineLvl w:val="1"/>
        <w:rPr>
          <w:rFonts w:hint="eastAsia" w:ascii="黑体" w:hAnsi="黑体" w:eastAsia="黑体" w:cs="黑体"/>
          <w:bCs/>
          <w:sz w:val="32"/>
          <w:szCs w:val="32"/>
        </w:rPr>
      </w:pPr>
      <w:r>
        <w:rPr>
          <w:rFonts w:hint="eastAsia" w:ascii="黑体" w:hAnsi="黑体" w:eastAsia="黑体" w:cs="黑体"/>
          <w:bCs/>
          <w:sz w:val="32"/>
          <w:szCs w:val="32"/>
        </w:rPr>
        <w:t>附件1</w:t>
      </w:r>
    </w:p>
    <w:p>
      <w:pPr>
        <w:adjustRightInd w:val="0"/>
        <w:snapToGrid w:val="0"/>
        <w:spacing w:before="0" w:beforeLines="0" w:after="0" w:afterLines="0" w:line="240" w:lineRule="auto"/>
        <w:jc w:val="center"/>
        <w:outlineLvl w:val="1"/>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用人单位职业病危害风险分级方法</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ind w:firstLine="640" w:firstLineChars="200"/>
        <w:textAlignment w:val="auto"/>
        <w:outlineLvl w:val="1"/>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根据《职业病防治法》等法律法规规章制定用人单位职业病危害风险分级方法。</w:t>
      </w:r>
      <w:r>
        <w:rPr>
          <w:rFonts w:hint="eastAsia" w:ascii="仿宋_GB2312" w:hAnsi="仿宋_GB2312" w:eastAsia="仿宋_GB2312" w:cs="仿宋_GB2312"/>
          <w:bCs/>
          <w:sz w:val="32"/>
          <w:szCs w:val="32"/>
        </w:rPr>
        <w:t>用人单位职业病危害风险分级根据劳动者接触职业病危害因素性质、</w:t>
      </w:r>
      <w:r>
        <w:rPr>
          <w:rFonts w:hint="eastAsia" w:ascii="仿宋_GB2312" w:hAnsi="仿宋_GB2312" w:eastAsia="仿宋_GB2312" w:cs="仿宋_GB2312"/>
          <w:sz w:val="32"/>
          <w:szCs w:val="32"/>
        </w:rPr>
        <w:t>接触</w:t>
      </w:r>
      <w:r>
        <w:rPr>
          <w:rFonts w:hint="eastAsia" w:ascii="仿宋_GB2312" w:hAnsi="仿宋_GB2312" w:eastAsia="仿宋_GB2312" w:cs="仿宋_GB2312"/>
          <w:bCs/>
          <w:sz w:val="32"/>
          <w:szCs w:val="32"/>
        </w:rPr>
        <w:t>水平、接触人数等指标进行判定。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cs="Times New Roman"/>
          <w:bCs/>
          <w:sz w:val="32"/>
          <w:szCs w:val="32"/>
        </w:rPr>
      </w:pPr>
      <w:r>
        <w:rPr>
          <w:rFonts w:hint="eastAsia" w:ascii="Times New Roman" w:hAnsi="Times New Roman" w:eastAsia="黑体" w:cs="Times New Roman"/>
          <w:bCs/>
          <w:sz w:val="32"/>
          <w:szCs w:val="32"/>
        </w:rPr>
        <w:t>一</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rPr>
        <w:t>指标界定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（一）职业病危害因素</w:t>
      </w:r>
      <w:r>
        <w:rPr>
          <w:rFonts w:hint="eastAsia" w:ascii="楷体_GB2312" w:hAnsi="楷体_GB2312" w:eastAsia="楷体_GB2312" w:cs="楷体_GB2312"/>
          <w:color w:val="auto"/>
          <w:sz w:val="32"/>
          <w:szCs w:val="32"/>
        </w:rPr>
        <w:t>性质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职业病危害因素性质分为严重和一般职业病危害因素。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rPr>
        <w:t>1.严重</w:t>
      </w:r>
      <w:r>
        <w:rPr>
          <w:rFonts w:hint="eastAsia" w:ascii="仿宋_GB2312" w:hAnsi="仿宋_GB2312" w:eastAsia="仿宋_GB2312" w:cs="仿宋_GB2312"/>
          <w:color w:val="auto"/>
          <w:sz w:val="32"/>
          <w:szCs w:val="32"/>
        </w:rPr>
        <w:t>职业病</w:t>
      </w:r>
      <w:r>
        <w:rPr>
          <w:rFonts w:hint="eastAsia" w:ascii="仿宋_GB2312" w:hAnsi="仿宋_GB2312" w:eastAsia="仿宋_GB2312" w:cs="仿宋_GB2312"/>
          <w:bCs/>
          <w:color w:val="auto"/>
          <w:sz w:val="32"/>
          <w:szCs w:val="32"/>
        </w:rPr>
        <w:t>危害因素</w:t>
      </w:r>
      <w:r>
        <w:rPr>
          <w:rFonts w:hint="eastAsia" w:ascii="仿宋_GB2312" w:hAnsi="仿宋_GB2312" w:eastAsia="仿宋_GB2312" w:cs="仿宋_GB2312"/>
          <w:bCs/>
          <w:color w:val="auto"/>
          <w:sz w:val="32"/>
          <w:szCs w:val="32"/>
          <w:lang w:eastAsia="zh-CN"/>
        </w:rPr>
        <w:t>主要</w:t>
      </w:r>
      <w:r>
        <w:rPr>
          <w:rFonts w:hint="eastAsia" w:ascii="仿宋_GB2312" w:hAnsi="仿宋_GB2312" w:eastAsia="仿宋_GB2312" w:cs="仿宋_GB2312"/>
          <w:bCs/>
          <w:color w:val="auto"/>
          <w:sz w:val="32"/>
          <w:szCs w:val="32"/>
        </w:rPr>
        <w:t>包括以下内容：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（1）《高毒物品目录》所列职业病危害因素；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（2）石棉纤维粉尘、游离二氧化硅含量10%以上粉尘；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lang w:eastAsia="zh-CN"/>
        </w:rPr>
        <w:t>已确认对人致癌的化学有害因素</w:t>
      </w:r>
      <w:r>
        <w:rPr>
          <w:rFonts w:hint="eastAsia" w:ascii="仿宋_GB2312" w:hAnsi="仿宋_GB2312" w:eastAsia="仿宋_GB2312" w:cs="仿宋_GB2312"/>
          <w:bCs/>
          <w:color w:val="auto"/>
          <w:sz w:val="32"/>
          <w:szCs w:val="32"/>
        </w:rPr>
        <w:t>（GBZ 2.1中标注“G1”的物质）；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（4）电离辐射（除外Ⅲ类射线装置、Ⅳ类和Ⅴ类密封源、丙级非密封源工作场所及予以豁免的实践或源）；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（5）卫生健康主管部门规定的其他应列入严重职业病危害因素范围的。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2.</w:t>
      </w:r>
      <w:r>
        <w:rPr>
          <w:rFonts w:hint="eastAsia" w:ascii="仿宋_GB2312" w:hAnsi="仿宋_GB2312" w:eastAsia="仿宋_GB2312" w:cs="仿宋_GB2312"/>
          <w:bCs/>
          <w:sz w:val="32"/>
          <w:szCs w:val="32"/>
        </w:rPr>
        <w:t>上述严重职业病危害因素以外的其他职业病危害因素为一般职业病危害因素。</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职业病危害因素</w:t>
      </w:r>
      <w:r>
        <w:rPr>
          <w:rFonts w:hint="eastAsia" w:ascii="楷体_GB2312" w:hAnsi="楷体_GB2312" w:eastAsia="楷体_GB2312" w:cs="楷体_GB2312"/>
          <w:color w:val="auto"/>
          <w:sz w:val="32"/>
          <w:szCs w:val="32"/>
          <w:highlight w:val="none"/>
        </w:rPr>
        <w:t>接触</w:t>
      </w:r>
      <w:r>
        <w:rPr>
          <w:rFonts w:hint="eastAsia" w:ascii="楷体_GB2312" w:hAnsi="楷体_GB2312" w:eastAsia="楷体_GB2312" w:cs="楷体_GB2312"/>
          <w:color w:val="auto"/>
          <w:sz w:val="32"/>
          <w:szCs w:val="32"/>
        </w:rPr>
        <w:t>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val="0"/>
          <w:color w:val="auto"/>
          <w:sz w:val="32"/>
          <w:szCs w:val="32"/>
        </w:rPr>
      </w:pPr>
      <w:r>
        <w:rPr>
          <w:rFonts w:hint="eastAsia" w:ascii="仿宋_GB2312" w:hAnsi="仿宋_GB2312" w:eastAsia="仿宋_GB2312" w:cs="仿宋_GB2312"/>
          <w:bCs/>
          <w:color w:val="auto"/>
          <w:sz w:val="32"/>
          <w:szCs w:val="32"/>
        </w:rPr>
        <w:t>职业病危害</w:t>
      </w:r>
      <w:r>
        <w:rPr>
          <w:rFonts w:hint="eastAsia" w:ascii="仿宋_GB2312" w:hAnsi="仿宋_GB2312" w:eastAsia="仿宋_GB2312" w:cs="仿宋_GB2312"/>
          <w:bCs/>
          <w:color w:val="auto"/>
          <w:sz w:val="32"/>
          <w:szCs w:val="32"/>
          <w:lang w:eastAsia="zh-CN"/>
        </w:rPr>
        <w:t>因素</w:t>
      </w:r>
      <w:r>
        <w:rPr>
          <w:rFonts w:hint="eastAsia" w:ascii="仿宋_GB2312" w:hAnsi="仿宋_GB2312" w:eastAsia="仿宋_GB2312" w:cs="仿宋_GB2312"/>
          <w:bCs/>
          <w:color w:val="auto"/>
          <w:sz w:val="32"/>
          <w:szCs w:val="32"/>
          <w:highlight w:val="none"/>
        </w:rPr>
        <w:t>接触</w:t>
      </w:r>
      <w:r>
        <w:rPr>
          <w:rFonts w:hint="eastAsia" w:ascii="仿宋_GB2312" w:hAnsi="仿宋_GB2312" w:eastAsia="仿宋_GB2312" w:cs="仿宋_GB2312"/>
          <w:bCs/>
          <w:color w:val="auto"/>
          <w:sz w:val="32"/>
          <w:szCs w:val="32"/>
        </w:rPr>
        <w:t>水平指劳动者在职业活动</w:t>
      </w:r>
      <w:r>
        <w:rPr>
          <w:rFonts w:hint="eastAsia" w:ascii="仿宋_GB2312" w:hAnsi="仿宋_GB2312" w:eastAsia="仿宋_GB2312" w:cs="仿宋_GB2312"/>
          <w:bCs/>
          <w:color w:val="auto"/>
          <w:sz w:val="32"/>
          <w:szCs w:val="32"/>
          <w:lang w:eastAsia="zh-CN"/>
        </w:rPr>
        <w:t>的</w:t>
      </w:r>
      <w:r>
        <w:rPr>
          <w:rFonts w:hint="eastAsia" w:ascii="仿宋_GB2312" w:hAnsi="仿宋_GB2312" w:eastAsia="仿宋_GB2312" w:cs="仿宋_GB2312"/>
          <w:bCs/>
          <w:color w:val="auto"/>
          <w:sz w:val="32"/>
          <w:szCs w:val="32"/>
        </w:rPr>
        <w:t>特定时间段内实际接触工作场所职业</w:t>
      </w:r>
      <w:r>
        <w:rPr>
          <w:rFonts w:hint="eastAsia" w:ascii="仿宋_GB2312" w:hAnsi="仿宋_GB2312" w:eastAsia="仿宋_GB2312" w:cs="仿宋_GB2312"/>
          <w:bCs/>
          <w:color w:val="auto"/>
          <w:sz w:val="32"/>
          <w:szCs w:val="32"/>
          <w:lang w:eastAsia="zh-CN"/>
        </w:rPr>
        <w:t>病危</w:t>
      </w:r>
      <w:r>
        <w:rPr>
          <w:rFonts w:hint="eastAsia" w:ascii="仿宋_GB2312" w:hAnsi="仿宋_GB2312" w:eastAsia="仿宋_GB2312" w:cs="仿宋_GB2312"/>
          <w:bCs/>
          <w:color w:val="auto"/>
          <w:sz w:val="32"/>
          <w:szCs w:val="32"/>
        </w:rPr>
        <w:t>害因素的浓度或强度。本文件中职业病危害因素</w:t>
      </w:r>
      <w:r>
        <w:rPr>
          <w:rFonts w:hint="eastAsia" w:ascii="仿宋_GB2312" w:hAnsi="仿宋_GB2312" w:eastAsia="仿宋_GB2312" w:cs="仿宋_GB2312"/>
          <w:bCs/>
          <w:strike w:val="0"/>
          <w:color w:val="auto"/>
          <w:sz w:val="32"/>
          <w:szCs w:val="32"/>
          <w:highlight w:val="none"/>
        </w:rPr>
        <w:t>接触</w:t>
      </w:r>
      <w:r>
        <w:rPr>
          <w:rFonts w:hint="eastAsia" w:ascii="仿宋_GB2312" w:hAnsi="仿宋_GB2312" w:eastAsia="仿宋_GB2312" w:cs="仿宋_GB2312"/>
          <w:bCs/>
          <w:color w:val="auto"/>
          <w:sz w:val="32"/>
          <w:szCs w:val="32"/>
        </w:rPr>
        <w:t>水平分为符合和不符合。</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职业病危害接触人数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职业病危害接触人数分三类，分别为接触人数9人及以下、10～49人和50人及以上。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rPr>
        <w:t>二</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rPr>
        <w:t>风险分级</w:t>
      </w:r>
      <w:r>
        <w:rPr>
          <w:rFonts w:hint="eastAsia" w:ascii="Times New Roman" w:hAnsi="Times New Roman" w:eastAsia="黑体" w:cs="Times New Roman"/>
          <w:bCs/>
          <w:sz w:val="32"/>
          <w:szCs w:val="32"/>
          <w:lang w:eastAsia="zh-CN"/>
        </w:rPr>
        <w:t>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按照《用人单位职业病危害风险分级</w:t>
      </w:r>
      <w:r>
        <w:rPr>
          <w:rFonts w:hint="eastAsia" w:ascii="仿宋_GB2312" w:hAnsi="仿宋_GB2312" w:eastAsia="仿宋_GB2312" w:cs="仿宋_GB2312"/>
          <w:bCs/>
          <w:sz w:val="32"/>
          <w:szCs w:val="32"/>
          <w:lang w:eastAsia="zh-CN"/>
        </w:rPr>
        <w:t>方法</w:t>
      </w:r>
      <w:r>
        <w:rPr>
          <w:rFonts w:hint="eastAsia" w:ascii="仿宋_GB2312" w:hAnsi="仿宋_GB2312" w:eastAsia="仿宋_GB2312" w:cs="仿宋_GB2312"/>
          <w:bCs/>
          <w:sz w:val="32"/>
          <w:szCs w:val="32"/>
        </w:rPr>
        <w:t>》（见附表1-1），将用人单位职业病危害风险分Ⅰ级、Ⅱ级、Ⅲ级</w:t>
      </w:r>
      <w:r>
        <w:rPr>
          <w:rFonts w:hint="eastAsia" w:ascii="仿宋_GB2312" w:hAnsi="仿宋_GB2312" w:eastAsia="仿宋_GB2312" w:cs="仿宋_GB2312"/>
          <w:bCs/>
          <w:sz w:val="32"/>
          <w:szCs w:val="32"/>
          <w:lang w:eastAsia="zh-CN"/>
        </w:rPr>
        <w:t>三个等级</w:t>
      </w:r>
      <w:r>
        <w:rPr>
          <w:rFonts w:hint="eastAsia" w:ascii="仿宋_GB2312" w:hAnsi="仿宋_GB2312" w:eastAsia="仿宋_GB2312" w:cs="仿宋_GB2312"/>
          <w:bCs/>
          <w:sz w:val="32"/>
          <w:szCs w:val="32"/>
        </w:rPr>
        <w:t>，Ⅰ级风险最低，Ⅲ级风险最高。</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附表1-1 用人单位职业病危害风险分级</w:t>
      </w:r>
      <w:r>
        <w:rPr>
          <w:rFonts w:hint="eastAsia" w:ascii="黑体" w:hAnsi="黑体" w:eastAsia="黑体" w:cs="黑体"/>
          <w:b w:val="0"/>
          <w:bCs w:val="0"/>
          <w:sz w:val="32"/>
          <w:szCs w:val="32"/>
          <w:lang w:eastAsia="zh-CN"/>
        </w:rPr>
        <w:t>方法</w:t>
      </w:r>
    </w:p>
    <w:tbl>
      <w:tblPr>
        <w:tblStyle w:val="7"/>
        <w:tblW w:w="8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1221"/>
        <w:gridCol w:w="1762"/>
        <w:gridCol w:w="176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trPr>
        <w:tc>
          <w:tcPr>
            <w:tcW w:w="18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4"/>
                <w:szCs w:val="24"/>
                <w:lang w:bidi="ar"/>
              </w:rPr>
            </w:pPr>
            <w:r>
              <w:rPr>
                <w:rFonts w:hint="eastAsia" w:ascii="黑体" w:hAnsi="黑体" w:eastAsia="黑体" w:cs="黑体"/>
                <w:b w:val="0"/>
                <w:bCs/>
                <w:sz w:val="24"/>
                <w:szCs w:val="24"/>
                <w:lang w:bidi="ar"/>
              </w:rPr>
              <w:t>职业病危害</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lang w:bidi="ar"/>
              </w:rPr>
              <w:t>因素</w:t>
            </w:r>
            <w:r>
              <w:rPr>
                <w:rFonts w:hint="eastAsia" w:ascii="黑体" w:hAnsi="黑体" w:eastAsia="黑体" w:cs="黑体"/>
                <w:b w:val="0"/>
                <w:bCs/>
                <w:color w:val="auto"/>
                <w:sz w:val="24"/>
                <w:szCs w:val="24"/>
                <w:lang w:bidi="ar"/>
              </w:rPr>
              <w:t>性质</w:t>
            </w:r>
          </w:p>
        </w:tc>
        <w:tc>
          <w:tcPr>
            <w:tcW w:w="122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lang w:bidi="ar"/>
              </w:rPr>
              <w:t>接触水平</w:t>
            </w:r>
          </w:p>
        </w:tc>
        <w:tc>
          <w:tcPr>
            <w:tcW w:w="547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lang w:bidi="ar"/>
              </w:rPr>
              <w:t>接触人数（人）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8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z w:val="32"/>
                <w:szCs w:val="24"/>
              </w:rPr>
            </w:pPr>
          </w:p>
        </w:tc>
        <w:tc>
          <w:tcPr>
            <w:tcW w:w="122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z w:val="32"/>
                <w:szCs w:val="24"/>
              </w:rPr>
            </w:pPr>
          </w:p>
        </w:tc>
        <w:tc>
          <w:tcPr>
            <w:tcW w:w="1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lang w:bidi="ar"/>
              </w:rPr>
              <w:t>≤9</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lang w:bidi="ar"/>
              </w:rPr>
              <w:t>10~49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sz w:val="24"/>
                <w:szCs w:val="24"/>
              </w:rPr>
            </w:pPr>
            <w:r>
              <w:rPr>
                <w:rFonts w:hint="eastAsia" w:ascii="黑体" w:hAnsi="黑体" w:eastAsia="黑体" w:cs="黑体"/>
                <w:b w:val="0"/>
                <w:bCs/>
                <w:sz w:val="24"/>
                <w:szCs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lang w:bidi="ar"/>
              </w:rPr>
              <w:t>一般职业病</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lang w:bidi="ar"/>
              </w:rPr>
              <w:t>危害因素</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符合</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Ⅰ级</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Ⅰ级</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z w:val="32"/>
                <w:szCs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不符合</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Ⅱ</w:t>
            </w:r>
            <w:r>
              <w:rPr>
                <w:rFonts w:hint="eastAsia" w:ascii="Times New Roman" w:hAnsi="Times New Roman" w:eastAsia="仿宋_GB2312" w:cs="Times New Roman"/>
                <w:sz w:val="24"/>
                <w:szCs w:val="24"/>
                <w:lang w:bidi="ar"/>
              </w:rPr>
              <w:t>级</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Ⅱ级</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86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lang w:bidi="ar"/>
              </w:rPr>
              <w:t>严重职业病</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lang w:bidi="ar"/>
              </w:rPr>
              <w:t>危害因素</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符合</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Ⅱ级</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Ⅱ级</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86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z w:val="32"/>
                <w:szCs w:val="24"/>
              </w:rPr>
            </w:pP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不符合</w:t>
            </w:r>
          </w:p>
        </w:tc>
        <w:tc>
          <w:tcPr>
            <w:tcW w:w="17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Ⅲ</w:t>
            </w:r>
            <w:r>
              <w:rPr>
                <w:rFonts w:hint="eastAsia" w:ascii="Times New Roman" w:hAnsi="Times New Roman" w:eastAsia="仿宋_GB2312" w:cs="Times New Roman"/>
                <w:sz w:val="24"/>
                <w:szCs w:val="24"/>
              </w:rPr>
              <w:t>级</w:t>
            </w:r>
          </w:p>
        </w:tc>
        <w:tc>
          <w:tcPr>
            <w:tcW w:w="17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Ⅲ级</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Ⅲ级</w:t>
            </w:r>
          </w:p>
        </w:tc>
      </w:tr>
    </w:tbl>
    <w:p>
      <w:pPr>
        <w:pStyle w:val="3"/>
        <w:keepNext w:val="0"/>
        <w:keepLines w:val="0"/>
        <w:pageBreakBefore w:val="0"/>
        <w:widowControl w:val="0"/>
        <w:kinsoku/>
        <w:wordWrap/>
        <w:overflowPunct/>
        <w:topLinePunct w:val="0"/>
        <w:autoSpaceDE/>
        <w:autoSpaceDN/>
        <w:bidi w:val="0"/>
        <w:spacing w:beforeLines="0" w:after="0" w:afterLines="0" w:line="560" w:lineRule="exact"/>
        <w:textAlignment w:val="auto"/>
        <w:rPr>
          <w:rFonts w:ascii="Times New Roman" w:hAnsi="Times New Roman" w:eastAsia="仿宋_GB2312" w:cs="Times New Roman"/>
          <w:sz w:val="24"/>
          <w:szCs w:val="28"/>
        </w:rPr>
      </w:pPr>
      <w:r>
        <w:rPr>
          <w:rFonts w:ascii="Times New Roman" w:hAnsi="Times New Roman" w:eastAsia="仿宋_GB2312" w:cs="Times New Roman"/>
          <w:sz w:val="24"/>
          <w:szCs w:val="28"/>
        </w:rPr>
        <w:t>注：用人单位同时存在一般职业病危害因素和严重职业病危害因素时，依风险高者判定。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cs="Times New Roman"/>
          <w:bCs/>
          <w:sz w:val="32"/>
          <w:szCs w:val="32"/>
        </w:rPr>
      </w:pPr>
      <w:r>
        <w:rPr>
          <w:rFonts w:hint="eastAsia" w:ascii="Times New Roman" w:hAnsi="Times New Roman" w:eastAsia="黑体" w:cs="Times New Roman"/>
          <w:bCs/>
          <w:sz w:val="32"/>
          <w:szCs w:val="32"/>
        </w:rPr>
        <w:t>三</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rPr>
        <w:t>风险分级</w:t>
      </w:r>
      <w:r>
        <w:rPr>
          <w:rFonts w:hint="eastAsia" w:ascii="Times New Roman" w:hAnsi="Times New Roman" w:eastAsia="黑体" w:cs="Times New Roman"/>
          <w:bCs/>
          <w:color w:val="auto"/>
          <w:sz w:val="32"/>
          <w:szCs w:val="32"/>
        </w:rPr>
        <w:t>步骤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根据</w:t>
      </w:r>
      <w:r>
        <w:rPr>
          <w:rFonts w:hint="eastAsia" w:ascii="仿宋_GB2312" w:hAnsi="仿宋_GB2312" w:eastAsia="仿宋_GB2312" w:cs="仿宋_GB2312"/>
          <w:bCs/>
          <w:sz w:val="32"/>
          <w:szCs w:val="32"/>
          <w:lang w:eastAsia="zh-CN"/>
        </w:rPr>
        <w:t>用人单位</w:t>
      </w:r>
      <w:r>
        <w:rPr>
          <w:rFonts w:hint="eastAsia" w:ascii="仿宋_GB2312" w:hAnsi="仿宋_GB2312" w:eastAsia="仿宋_GB2312" w:cs="仿宋_GB2312"/>
          <w:bCs/>
          <w:sz w:val="32"/>
          <w:szCs w:val="32"/>
        </w:rPr>
        <w:t>职业病危害</w:t>
      </w:r>
      <w:r>
        <w:rPr>
          <w:rFonts w:hint="eastAsia" w:ascii="仿宋_GB2312" w:hAnsi="仿宋_GB2312" w:eastAsia="仿宋_GB2312" w:cs="仿宋_GB2312"/>
          <w:bCs/>
          <w:sz w:val="32"/>
          <w:szCs w:val="32"/>
          <w:highlight w:val="none"/>
          <w:lang w:eastAsia="zh-CN"/>
        </w:rPr>
        <w:t>现状评价报告或</w:t>
      </w:r>
      <w:r>
        <w:rPr>
          <w:rFonts w:hint="eastAsia" w:ascii="仿宋_GB2312" w:hAnsi="仿宋_GB2312" w:eastAsia="仿宋_GB2312" w:cs="仿宋_GB2312"/>
          <w:bCs/>
          <w:sz w:val="32"/>
          <w:szCs w:val="32"/>
          <w:highlight w:val="none"/>
        </w:rPr>
        <w:t>定期检测与评价报告</w:t>
      </w:r>
      <w:r>
        <w:rPr>
          <w:rFonts w:hint="eastAsia" w:ascii="仿宋_GB2312" w:hAnsi="仿宋_GB2312" w:eastAsia="仿宋_GB2312" w:cs="仿宋_GB2312"/>
          <w:bCs/>
          <w:sz w:val="32"/>
          <w:szCs w:val="32"/>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或国家基本公共卫生服务中职业病和职业病危害因素监测项目用人单位工作场所职业病危害因素检测、评价报告和职业健康检查报告，</w:t>
      </w:r>
      <w:r>
        <w:rPr>
          <w:rFonts w:hint="eastAsia" w:ascii="仿宋_GB2312" w:hAnsi="仿宋_GB2312" w:eastAsia="仿宋_GB2312" w:cs="仿宋_GB2312"/>
          <w:bCs/>
          <w:sz w:val="32"/>
          <w:szCs w:val="32"/>
        </w:rPr>
        <w:t>开展职业病危害</w:t>
      </w:r>
      <w:r>
        <w:rPr>
          <w:rFonts w:hint="eastAsia" w:ascii="仿宋_GB2312" w:hAnsi="仿宋_GB2312" w:eastAsia="仿宋_GB2312" w:cs="仿宋_GB2312"/>
          <w:bCs/>
          <w:sz w:val="32"/>
          <w:szCs w:val="32"/>
          <w:lang w:eastAsia="zh-CN"/>
        </w:rPr>
        <w:t>因素</w:t>
      </w:r>
      <w:r>
        <w:rPr>
          <w:rFonts w:hint="eastAsia" w:ascii="仿宋_GB2312" w:hAnsi="仿宋_GB2312" w:eastAsia="仿宋_GB2312" w:cs="仿宋_GB2312"/>
          <w:bCs/>
          <w:sz w:val="32"/>
          <w:szCs w:val="32"/>
        </w:rPr>
        <w:t>情况调查，填写附表1-2。</w:t>
      </w:r>
    </w:p>
    <w:p>
      <w:pPr>
        <w:adjustRightInd w:val="0"/>
        <w:snapToGrid w:val="0"/>
        <w:spacing w:line="560" w:lineRule="exact"/>
        <w:ind w:firstLine="640" w:firstLineChars="200"/>
        <w:rPr>
          <w:rFonts w:hint="eastAsia"/>
          <w:sz w:val="32"/>
          <w:szCs w:val="32"/>
        </w:rPr>
        <w:sectPr>
          <w:footerReference r:id="rId3" w:type="default"/>
          <w:pgSz w:w="11906" w:h="16838"/>
          <w:pgMar w:top="1440" w:right="1800" w:bottom="1440" w:left="1800" w:header="851" w:footer="1304" w:gutter="0"/>
          <w:pgBorders>
            <w:top w:val="none" w:sz="0" w:space="0"/>
            <w:left w:val="none" w:sz="0" w:space="0"/>
            <w:bottom w:val="none" w:sz="0" w:space="0"/>
            <w:right w:val="none" w:sz="0" w:space="0"/>
          </w:pgBorders>
          <w:pgNumType w:fmt="decimal" w:start="8"/>
          <w:cols w:space="720" w:num="1"/>
          <w:docGrid w:type="lines" w:linePitch="312" w:charSpace="0"/>
        </w:sectPr>
      </w:pPr>
      <w:r>
        <w:rPr>
          <w:rFonts w:hint="eastAsia" w:ascii="仿宋_GB2312" w:hAnsi="仿宋_GB2312" w:eastAsia="仿宋_GB2312" w:cs="仿宋_GB2312"/>
          <w:bCs/>
          <w:sz w:val="32"/>
          <w:szCs w:val="32"/>
        </w:rPr>
        <w:t>根据用人单位职业病危害风险分级</w:t>
      </w:r>
      <w:r>
        <w:rPr>
          <w:rFonts w:hint="eastAsia" w:ascii="仿宋_GB2312" w:hAnsi="仿宋_GB2312" w:eastAsia="仿宋_GB2312" w:cs="仿宋_GB2312"/>
          <w:bCs/>
          <w:sz w:val="32"/>
          <w:szCs w:val="32"/>
          <w:lang w:eastAsia="zh-CN"/>
        </w:rPr>
        <w:t>方法</w:t>
      </w:r>
      <w:r>
        <w:rPr>
          <w:rFonts w:hint="eastAsia" w:ascii="仿宋_GB2312" w:hAnsi="仿宋_GB2312" w:eastAsia="仿宋_GB2312" w:cs="仿宋_GB2312"/>
          <w:bCs/>
          <w:sz w:val="32"/>
          <w:szCs w:val="32"/>
        </w:rPr>
        <w:t>进行风险</w:t>
      </w:r>
      <w:r>
        <w:rPr>
          <w:rFonts w:hint="eastAsia" w:ascii="仿宋_GB2312" w:hAnsi="仿宋_GB2312" w:eastAsia="仿宋_GB2312" w:cs="仿宋_GB2312"/>
          <w:bCs/>
          <w:sz w:val="32"/>
          <w:szCs w:val="32"/>
          <w:lang w:eastAsia="zh-CN"/>
        </w:rPr>
        <w:t>等</w:t>
      </w:r>
      <w:r>
        <w:rPr>
          <w:rFonts w:hint="eastAsia" w:ascii="仿宋_GB2312" w:hAnsi="仿宋_GB2312" w:eastAsia="仿宋_GB2312" w:cs="仿宋_GB2312"/>
          <w:bCs/>
          <w:sz w:val="32"/>
          <w:szCs w:val="32"/>
        </w:rPr>
        <w:t>级判定，填写附表1-3。</w:t>
      </w: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p>
    <w:p>
      <w:pPr>
        <w:spacing w:line="540" w:lineRule="exact"/>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附表1-2 用人单位职业病危害</w:t>
      </w:r>
      <w:r>
        <w:rPr>
          <w:rFonts w:hint="eastAsia" w:ascii="黑体" w:hAnsi="黑体" w:eastAsia="黑体" w:cs="黑体"/>
          <w:b w:val="0"/>
          <w:bCs w:val="0"/>
          <w:sz w:val="32"/>
          <w:szCs w:val="32"/>
          <w:lang w:eastAsia="zh-CN"/>
        </w:rPr>
        <w:t>因素接触</w:t>
      </w:r>
      <w:r>
        <w:rPr>
          <w:rFonts w:hint="eastAsia" w:ascii="黑体" w:hAnsi="黑体" w:eastAsia="黑体" w:cs="黑体"/>
          <w:b w:val="0"/>
          <w:bCs w:val="0"/>
          <w:sz w:val="32"/>
          <w:szCs w:val="32"/>
        </w:rPr>
        <w:t>情况一览表</w:t>
      </w:r>
    </w:p>
    <w:tbl>
      <w:tblPr>
        <w:tblStyle w:val="8"/>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51"/>
        <w:gridCol w:w="1134"/>
        <w:gridCol w:w="850"/>
        <w:gridCol w:w="1134"/>
        <w:gridCol w:w="992"/>
        <w:gridCol w:w="993"/>
        <w:gridCol w:w="992"/>
        <w:gridCol w:w="1559"/>
        <w:gridCol w:w="1134"/>
        <w:gridCol w:w="1276"/>
        <w:gridCol w:w="992"/>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adjustRightInd w:val="0"/>
              <w:snapToGrid w:val="0"/>
              <w:ind w:left="-105" w:leftChars="-50" w:right="-105" w:rightChars="-50"/>
              <w:jc w:val="center"/>
              <w:rPr>
                <w:rFonts w:hint="eastAsia" w:ascii="黑体" w:hAnsi="黑体" w:eastAsia="黑体" w:cs="黑体"/>
                <w:b w:val="0"/>
                <w:bCs/>
                <w:snapToGrid w:val="0"/>
                <w:kern w:val="0"/>
                <w:sz w:val="22"/>
              </w:rPr>
            </w:pPr>
            <w:r>
              <w:rPr>
                <w:rFonts w:hint="eastAsia" w:ascii="黑体" w:hAnsi="黑体" w:eastAsia="黑体" w:cs="黑体"/>
                <w:b w:val="0"/>
                <w:bCs/>
                <w:snapToGrid w:val="0"/>
                <w:kern w:val="0"/>
                <w:sz w:val="22"/>
              </w:rPr>
              <w:t>序号</w:t>
            </w:r>
          </w:p>
        </w:tc>
        <w:tc>
          <w:tcPr>
            <w:tcW w:w="851" w:type="dxa"/>
            <w:vMerge w:val="restart"/>
            <w:noWrap w:val="0"/>
            <w:vAlign w:val="center"/>
          </w:tcPr>
          <w:p>
            <w:pPr>
              <w:adjustRightInd w:val="0"/>
              <w:snapToGrid w:val="0"/>
              <w:ind w:left="-105" w:leftChars="-50" w:right="-105" w:rightChars="-50"/>
              <w:jc w:val="center"/>
              <w:rPr>
                <w:rFonts w:hint="eastAsia" w:ascii="黑体" w:hAnsi="黑体" w:eastAsia="黑体" w:cs="黑体"/>
                <w:b w:val="0"/>
                <w:bCs/>
                <w:snapToGrid w:val="0"/>
                <w:kern w:val="0"/>
                <w:sz w:val="22"/>
              </w:rPr>
            </w:pPr>
            <w:r>
              <w:rPr>
                <w:rFonts w:hint="eastAsia" w:ascii="黑体" w:hAnsi="黑体" w:eastAsia="黑体" w:cs="黑体"/>
                <w:b w:val="0"/>
                <w:bCs/>
                <w:snapToGrid w:val="0"/>
                <w:kern w:val="0"/>
                <w:sz w:val="22"/>
              </w:rPr>
              <w:t>车间</w:t>
            </w:r>
          </w:p>
        </w:tc>
        <w:tc>
          <w:tcPr>
            <w:tcW w:w="1134" w:type="dxa"/>
            <w:vMerge w:val="restart"/>
            <w:noWrap w:val="0"/>
            <w:vAlign w:val="center"/>
          </w:tcPr>
          <w:p>
            <w:pPr>
              <w:adjustRightInd w:val="0"/>
              <w:snapToGrid w:val="0"/>
              <w:ind w:left="-105" w:leftChars="-50" w:right="-105" w:rightChars="-50"/>
              <w:jc w:val="center"/>
              <w:rPr>
                <w:rFonts w:hint="eastAsia" w:ascii="黑体" w:hAnsi="黑体" w:eastAsia="黑体" w:cs="黑体"/>
                <w:b w:val="0"/>
                <w:bCs/>
                <w:snapToGrid w:val="0"/>
                <w:kern w:val="0"/>
                <w:sz w:val="22"/>
              </w:rPr>
            </w:pPr>
            <w:r>
              <w:rPr>
                <w:rFonts w:hint="eastAsia" w:ascii="黑体" w:hAnsi="黑体" w:eastAsia="黑体" w:cs="黑体"/>
                <w:b w:val="0"/>
                <w:bCs/>
                <w:snapToGrid w:val="0"/>
                <w:kern w:val="0"/>
                <w:sz w:val="22"/>
              </w:rPr>
              <w:t>工种/岗位</w:t>
            </w:r>
          </w:p>
        </w:tc>
        <w:tc>
          <w:tcPr>
            <w:tcW w:w="850" w:type="dxa"/>
            <w:vMerge w:val="restart"/>
            <w:noWrap w:val="0"/>
            <w:vAlign w:val="center"/>
          </w:tcPr>
          <w:p>
            <w:pPr>
              <w:adjustRightInd w:val="0"/>
              <w:snapToGrid w:val="0"/>
              <w:ind w:left="-105" w:leftChars="-50" w:right="-105" w:rightChars="-50"/>
              <w:jc w:val="center"/>
              <w:rPr>
                <w:rFonts w:hint="eastAsia" w:ascii="黑体" w:hAnsi="黑体" w:eastAsia="黑体" w:cs="黑体"/>
                <w:b w:val="0"/>
                <w:bCs/>
                <w:snapToGrid w:val="0"/>
                <w:kern w:val="0"/>
                <w:sz w:val="22"/>
              </w:rPr>
            </w:pPr>
            <w:r>
              <w:rPr>
                <w:rFonts w:hint="eastAsia" w:ascii="黑体" w:hAnsi="黑体" w:eastAsia="黑体" w:cs="黑体"/>
                <w:b w:val="0"/>
                <w:bCs/>
                <w:snapToGrid w:val="0"/>
                <w:kern w:val="0"/>
                <w:sz w:val="22"/>
              </w:rPr>
              <w:t>定员</w:t>
            </w:r>
          </w:p>
        </w:tc>
        <w:tc>
          <w:tcPr>
            <w:tcW w:w="1134" w:type="dxa"/>
            <w:vMerge w:val="restart"/>
            <w:noWrap w:val="0"/>
            <w:vAlign w:val="center"/>
          </w:tcPr>
          <w:p>
            <w:pPr>
              <w:adjustRightInd w:val="0"/>
              <w:snapToGrid w:val="0"/>
              <w:ind w:left="-105" w:leftChars="-50" w:right="-105" w:rightChars="-50"/>
              <w:jc w:val="center"/>
              <w:rPr>
                <w:rFonts w:hint="eastAsia" w:ascii="黑体" w:hAnsi="黑体" w:eastAsia="黑体" w:cs="黑体"/>
                <w:b w:val="0"/>
                <w:bCs/>
                <w:snapToGrid w:val="0"/>
                <w:kern w:val="0"/>
                <w:sz w:val="22"/>
              </w:rPr>
            </w:pPr>
            <w:r>
              <w:rPr>
                <w:rFonts w:hint="eastAsia" w:ascii="黑体" w:hAnsi="黑体" w:eastAsia="黑体" w:cs="黑体"/>
                <w:b w:val="0"/>
                <w:bCs/>
                <w:snapToGrid w:val="0"/>
                <w:kern w:val="0"/>
                <w:sz w:val="22"/>
              </w:rPr>
              <w:t>职业病危害</w:t>
            </w:r>
          </w:p>
          <w:p>
            <w:pPr>
              <w:adjustRightInd w:val="0"/>
              <w:snapToGrid w:val="0"/>
              <w:ind w:left="-105" w:leftChars="-50" w:right="-105" w:rightChars="-50"/>
              <w:jc w:val="center"/>
              <w:rPr>
                <w:rFonts w:hint="eastAsia" w:ascii="黑体" w:hAnsi="黑体" w:eastAsia="黑体" w:cs="黑体"/>
                <w:b w:val="0"/>
                <w:bCs/>
                <w:snapToGrid w:val="0"/>
                <w:kern w:val="0"/>
                <w:sz w:val="22"/>
              </w:rPr>
            </w:pPr>
            <w:r>
              <w:rPr>
                <w:rFonts w:hint="eastAsia" w:ascii="黑体" w:hAnsi="黑体" w:eastAsia="黑体" w:cs="黑体"/>
                <w:b w:val="0"/>
                <w:bCs/>
                <w:snapToGrid w:val="0"/>
                <w:kern w:val="0"/>
                <w:sz w:val="22"/>
              </w:rPr>
              <w:t>因素名称</w:t>
            </w:r>
          </w:p>
        </w:tc>
        <w:tc>
          <w:tcPr>
            <w:tcW w:w="6946" w:type="dxa"/>
            <w:gridSpan w:val="6"/>
            <w:noWrap w:val="0"/>
            <w:vAlign w:val="center"/>
          </w:tcPr>
          <w:p>
            <w:pPr>
              <w:adjustRightInd w:val="0"/>
              <w:snapToGrid w:val="0"/>
              <w:ind w:left="-105" w:leftChars="-50" w:right="-105" w:rightChars="-50"/>
              <w:jc w:val="center"/>
              <w:rPr>
                <w:rFonts w:hint="eastAsia" w:ascii="黑体" w:hAnsi="黑体" w:eastAsia="黑体" w:cs="黑体"/>
                <w:b w:val="0"/>
                <w:bCs/>
                <w:snapToGrid w:val="0"/>
                <w:kern w:val="0"/>
                <w:sz w:val="22"/>
              </w:rPr>
            </w:pPr>
            <w:r>
              <w:rPr>
                <w:rFonts w:hint="eastAsia" w:ascii="黑体" w:hAnsi="黑体" w:eastAsia="黑体" w:cs="黑体"/>
                <w:b w:val="0"/>
                <w:bCs/>
                <w:snapToGrid w:val="0"/>
                <w:kern w:val="0"/>
                <w:sz w:val="22"/>
              </w:rPr>
              <w:t>职业病危害因素检测结果</w:t>
            </w:r>
          </w:p>
        </w:tc>
        <w:tc>
          <w:tcPr>
            <w:tcW w:w="992" w:type="dxa"/>
            <w:vMerge w:val="restart"/>
            <w:noWrap w:val="0"/>
            <w:vAlign w:val="center"/>
          </w:tcPr>
          <w:p>
            <w:pPr>
              <w:adjustRightInd w:val="0"/>
              <w:snapToGrid w:val="0"/>
              <w:ind w:left="-105" w:leftChars="-50" w:right="-105" w:rightChars="-50"/>
              <w:jc w:val="center"/>
              <w:rPr>
                <w:rFonts w:hint="eastAsia" w:ascii="黑体" w:hAnsi="黑体" w:eastAsia="黑体" w:cs="黑体"/>
                <w:b w:val="0"/>
                <w:bCs/>
                <w:snapToGrid w:val="0"/>
                <w:kern w:val="0"/>
                <w:sz w:val="22"/>
              </w:rPr>
            </w:pPr>
            <w:r>
              <w:rPr>
                <w:rFonts w:hint="eastAsia" w:ascii="黑体" w:hAnsi="黑体" w:eastAsia="黑体" w:cs="黑体"/>
                <w:b w:val="0"/>
                <w:bCs/>
                <w:snapToGrid w:val="0"/>
                <w:kern w:val="0"/>
                <w:sz w:val="22"/>
              </w:rPr>
              <w:t>接触水平</w:t>
            </w:r>
          </w:p>
        </w:tc>
        <w:tc>
          <w:tcPr>
            <w:tcW w:w="1381" w:type="dxa"/>
            <w:vMerge w:val="restart"/>
            <w:noWrap w:val="0"/>
            <w:vAlign w:val="center"/>
          </w:tcPr>
          <w:p>
            <w:pPr>
              <w:adjustRightInd w:val="0"/>
              <w:snapToGrid w:val="0"/>
              <w:ind w:left="-105" w:leftChars="-50" w:right="-105" w:rightChars="-50"/>
              <w:jc w:val="center"/>
              <w:rPr>
                <w:rFonts w:hint="eastAsia" w:ascii="黑体" w:hAnsi="黑体" w:eastAsia="黑体" w:cs="黑体"/>
                <w:b w:val="0"/>
                <w:bCs/>
                <w:snapToGrid w:val="0"/>
                <w:kern w:val="0"/>
                <w:sz w:val="22"/>
              </w:rPr>
            </w:pPr>
            <w:r>
              <w:rPr>
                <w:rFonts w:hint="eastAsia" w:ascii="黑体" w:hAnsi="黑体" w:eastAsia="黑体" w:cs="黑体"/>
                <w:b w:val="0"/>
                <w:bCs/>
                <w:snapToGrid w:val="0"/>
                <w:kern w:val="0"/>
                <w:sz w:val="22"/>
              </w:rPr>
              <w:t>职业病危害</w:t>
            </w:r>
          </w:p>
          <w:p>
            <w:pPr>
              <w:adjustRightInd w:val="0"/>
              <w:snapToGrid w:val="0"/>
              <w:ind w:left="-105" w:leftChars="-50" w:right="-105" w:rightChars="-50"/>
              <w:jc w:val="center"/>
              <w:rPr>
                <w:rFonts w:hint="eastAsia" w:ascii="黑体" w:hAnsi="黑体" w:eastAsia="黑体" w:cs="黑体"/>
                <w:b w:val="0"/>
                <w:bCs/>
                <w:snapToGrid w:val="0"/>
                <w:kern w:val="0"/>
                <w:sz w:val="22"/>
              </w:rPr>
            </w:pPr>
            <w:r>
              <w:rPr>
                <w:rFonts w:hint="eastAsia" w:ascii="黑体" w:hAnsi="黑体" w:eastAsia="黑体" w:cs="黑体"/>
                <w:b w:val="0"/>
                <w:bCs/>
                <w:snapToGrid w:val="0"/>
                <w:kern w:val="0"/>
                <w:sz w:val="22"/>
              </w:rPr>
              <w:t>因素性质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adjustRightInd w:val="0"/>
              <w:snapToGrid w:val="0"/>
              <w:jc w:val="center"/>
              <w:rPr>
                <w:rFonts w:hint="eastAsia" w:ascii="黑体" w:hAnsi="黑体" w:eastAsia="黑体" w:cs="黑体"/>
                <w:b w:val="0"/>
                <w:bCs/>
                <w:snapToGrid w:val="0"/>
                <w:kern w:val="0"/>
                <w:sz w:val="22"/>
              </w:rPr>
            </w:pPr>
          </w:p>
        </w:tc>
        <w:tc>
          <w:tcPr>
            <w:tcW w:w="851" w:type="dxa"/>
            <w:vMerge w:val="continue"/>
            <w:noWrap w:val="0"/>
            <w:vAlign w:val="top"/>
          </w:tcPr>
          <w:p>
            <w:pPr>
              <w:adjustRightInd w:val="0"/>
              <w:snapToGrid w:val="0"/>
              <w:jc w:val="center"/>
              <w:rPr>
                <w:rFonts w:hint="eastAsia" w:ascii="黑体" w:hAnsi="黑体" w:eastAsia="黑体" w:cs="黑体"/>
                <w:b w:val="0"/>
                <w:bCs/>
                <w:snapToGrid w:val="0"/>
                <w:kern w:val="0"/>
                <w:sz w:val="22"/>
              </w:rPr>
            </w:pPr>
          </w:p>
        </w:tc>
        <w:tc>
          <w:tcPr>
            <w:tcW w:w="1134" w:type="dxa"/>
            <w:vMerge w:val="continue"/>
            <w:noWrap w:val="0"/>
            <w:vAlign w:val="top"/>
          </w:tcPr>
          <w:p>
            <w:pPr>
              <w:adjustRightInd w:val="0"/>
              <w:snapToGrid w:val="0"/>
              <w:jc w:val="center"/>
              <w:rPr>
                <w:rFonts w:hint="eastAsia" w:ascii="黑体" w:hAnsi="黑体" w:eastAsia="黑体" w:cs="黑体"/>
                <w:b w:val="0"/>
                <w:bCs/>
                <w:snapToGrid w:val="0"/>
                <w:kern w:val="0"/>
                <w:sz w:val="22"/>
              </w:rPr>
            </w:pPr>
          </w:p>
        </w:tc>
        <w:tc>
          <w:tcPr>
            <w:tcW w:w="850" w:type="dxa"/>
            <w:vMerge w:val="continue"/>
            <w:noWrap w:val="0"/>
            <w:vAlign w:val="top"/>
          </w:tcPr>
          <w:p>
            <w:pPr>
              <w:adjustRightInd w:val="0"/>
              <w:snapToGrid w:val="0"/>
              <w:jc w:val="center"/>
              <w:rPr>
                <w:rFonts w:hint="eastAsia" w:ascii="黑体" w:hAnsi="黑体" w:eastAsia="黑体" w:cs="黑体"/>
                <w:b w:val="0"/>
                <w:bCs/>
                <w:snapToGrid w:val="0"/>
                <w:kern w:val="0"/>
                <w:sz w:val="22"/>
              </w:rPr>
            </w:pPr>
          </w:p>
        </w:tc>
        <w:tc>
          <w:tcPr>
            <w:tcW w:w="1134" w:type="dxa"/>
            <w:vMerge w:val="continue"/>
            <w:noWrap w:val="0"/>
            <w:vAlign w:val="top"/>
          </w:tcPr>
          <w:p>
            <w:pPr>
              <w:adjustRightInd w:val="0"/>
              <w:snapToGrid w:val="0"/>
              <w:jc w:val="center"/>
              <w:rPr>
                <w:rFonts w:hint="eastAsia" w:ascii="黑体" w:hAnsi="黑体" w:eastAsia="黑体" w:cs="黑体"/>
                <w:b w:val="0"/>
                <w:bCs/>
                <w:snapToGrid w:val="0"/>
                <w:kern w:val="0"/>
                <w:sz w:val="22"/>
              </w:rPr>
            </w:pPr>
          </w:p>
        </w:tc>
        <w:tc>
          <w:tcPr>
            <w:tcW w:w="992" w:type="dxa"/>
            <w:noWrap w:val="0"/>
            <w:vAlign w:val="center"/>
          </w:tcPr>
          <w:p>
            <w:pPr>
              <w:adjustRightInd w:val="0"/>
              <w:snapToGrid w:val="0"/>
              <w:jc w:val="center"/>
              <w:rPr>
                <w:rFonts w:hint="eastAsia" w:ascii="黑体" w:hAnsi="黑体" w:eastAsia="黑体" w:cs="黑体"/>
                <w:b w:val="0"/>
                <w:bCs/>
                <w:snapToGrid w:val="0"/>
                <w:kern w:val="0"/>
                <w:sz w:val="22"/>
              </w:rPr>
            </w:pPr>
            <w:r>
              <w:rPr>
                <w:rFonts w:hint="eastAsia" w:ascii="黑体" w:hAnsi="黑体" w:eastAsia="黑体" w:cs="黑体"/>
                <w:b w:val="0"/>
                <w:bCs/>
                <w:snapToGrid w:val="0"/>
                <w:kern w:val="0"/>
                <w:sz w:val="22"/>
              </w:rPr>
              <w:t>C</w:t>
            </w:r>
            <w:r>
              <w:rPr>
                <w:rFonts w:hint="eastAsia" w:ascii="黑体" w:hAnsi="黑体" w:eastAsia="黑体" w:cs="黑体"/>
                <w:b w:val="0"/>
                <w:bCs/>
                <w:snapToGrid w:val="0"/>
                <w:kern w:val="0"/>
                <w:sz w:val="22"/>
                <w:vertAlign w:val="subscript"/>
              </w:rPr>
              <w:t>TWA</w:t>
            </w:r>
          </w:p>
        </w:tc>
        <w:tc>
          <w:tcPr>
            <w:tcW w:w="993" w:type="dxa"/>
            <w:noWrap w:val="0"/>
            <w:vAlign w:val="center"/>
          </w:tcPr>
          <w:p>
            <w:pPr>
              <w:adjustRightInd w:val="0"/>
              <w:snapToGrid w:val="0"/>
              <w:jc w:val="center"/>
              <w:rPr>
                <w:rFonts w:hint="eastAsia" w:ascii="黑体" w:hAnsi="黑体" w:eastAsia="黑体" w:cs="黑体"/>
                <w:b w:val="0"/>
                <w:bCs/>
                <w:snapToGrid w:val="0"/>
                <w:kern w:val="0"/>
                <w:sz w:val="22"/>
              </w:rPr>
            </w:pPr>
            <w:r>
              <w:rPr>
                <w:rFonts w:hint="eastAsia" w:ascii="黑体" w:hAnsi="黑体" w:eastAsia="黑体" w:cs="黑体"/>
                <w:b w:val="0"/>
                <w:bCs/>
                <w:snapToGrid w:val="0"/>
                <w:kern w:val="0"/>
                <w:sz w:val="22"/>
              </w:rPr>
              <w:t>C</w:t>
            </w:r>
            <w:r>
              <w:rPr>
                <w:rFonts w:hint="eastAsia" w:ascii="黑体" w:hAnsi="黑体" w:eastAsia="黑体" w:cs="黑体"/>
                <w:b w:val="0"/>
                <w:bCs/>
                <w:snapToGrid w:val="0"/>
                <w:kern w:val="0"/>
                <w:sz w:val="22"/>
                <w:vertAlign w:val="subscript"/>
              </w:rPr>
              <w:t>STE</w:t>
            </w:r>
          </w:p>
        </w:tc>
        <w:tc>
          <w:tcPr>
            <w:tcW w:w="992" w:type="dxa"/>
            <w:noWrap w:val="0"/>
            <w:vAlign w:val="center"/>
          </w:tcPr>
          <w:p>
            <w:pPr>
              <w:adjustRightInd w:val="0"/>
              <w:snapToGrid w:val="0"/>
              <w:jc w:val="center"/>
              <w:rPr>
                <w:rFonts w:hint="eastAsia" w:ascii="黑体" w:hAnsi="黑体" w:eastAsia="黑体" w:cs="黑体"/>
                <w:b w:val="0"/>
                <w:bCs/>
                <w:snapToGrid w:val="0"/>
                <w:kern w:val="0"/>
                <w:sz w:val="22"/>
              </w:rPr>
            </w:pPr>
            <w:r>
              <w:rPr>
                <w:rFonts w:hint="eastAsia" w:ascii="黑体" w:hAnsi="黑体" w:eastAsia="黑体" w:cs="黑体"/>
                <w:b w:val="0"/>
                <w:bCs/>
                <w:snapToGrid w:val="0"/>
                <w:kern w:val="0"/>
                <w:sz w:val="22"/>
              </w:rPr>
              <w:t>C</w:t>
            </w:r>
            <w:r>
              <w:rPr>
                <w:rFonts w:hint="eastAsia" w:ascii="黑体" w:hAnsi="黑体" w:eastAsia="黑体" w:cs="黑体"/>
                <w:b w:val="0"/>
                <w:bCs/>
                <w:snapToGrid w:val="0"/>
                <w:kern w:val="0"/>
                <w:sz w:val="22"/>
                <w:vertAlign w:val="subscript"/>
              </w:rPr>
              <w:t>ME</w:t>
            </w:r>
          </w:p>
        </w:tc>
        <w:tc>
          <w:tcPr>
            <w:tcW w:w="1559" w:type="dxa"/>
            <w:noWrap w:val="0"/>
            <w:vAlign w:val="center"/>
          </w:tcPr>
          <w:p>
            <w:pPr>
              <w:adjustRightInd w:val="0"/>
              <w:snapToGrid w:val="0"/>
              <w:jc w:val="center"/>
              <w:rPr>
                <w:rFonts w:hint="eastAsia" w:ascii="黑体" w:hAnsi="黑体" w:eastAsia="黑体" w:cs="黑体"/>
                <w:b w:val="0"/>
                <w:bCs/>
                <w:snapToGrid w:val="0"/>
                <w:kern w:val="0"/>
                <w:sz w:val="22"/>
              </w:rPr>
            </w:pPr>
            <w:r>
              <w:rPr>
                <w:rFonts w:hint="eastAsia" w:ascii="黑体" w:hAnsi="黑体" w:eastAsia="黑体" w:cs="黑体"/>
                <w:b w:val="0"/>
                <w:bCs/>
                <w:snapToGrid w:val="0"/>
                <w:kern w:val="0"/>
                <w:sz w:val="22"/>
              </w:rPr>
              <w:t>C</w:t>
            </w:r>
            <w:r>
              <w:rPr>
                <w:rFonts w:hint="eastAsia" w:ascii="黑体" w:hAnsi="黑体" w:eastAsia="黑体" w:cs="黑体"/>
                <w:b w:val="0"/>
                <w:bCs/>
                <w:snapToGrid w:val="0"/>
                <w:kern w:val="0"/>
                <w:sz w:val="22"/>
                <w:vertAlign w:val="subscript"/>
              </w:rPr>
              <w:t>PE</w:t>
            </w:r>
          </w:p>
        </w:tc>
        <w:tc>
          <w:tcPr>
            <w:tcW w:w="1134" w:type="dxa"/>
            <w:noWrap w:val="0"/>
            <w:vAlign w:val="center"/>
          </w:tcPr>
          <w:p>
            <w:pPr>
              <w:adjustRightInd w:val="0"/>
              <w:snapToGrid w:val="0"/>
              <w:jc w:val="center"/>
              <w:rPr>
                <w:rFonts w:hint="eastAsia" w:ascii="黑体" w:hAnsi="黑体" w:eastAsia="黑体" w:cs="黑体"/>
                <w:b w:val="0"/>
                <w:bCs/>
                <w:snapToGrid w:val="0"/>
                <w:kern w:val="0"/>
                <w:sz w:val="22"/>
              </w:rPr>
            </w:pPr>
            <w:r>
              <w:rPr>
                <w:rFonts w:hint="eastAsia" w:ascii="黑体" w:hAnsi="黑体" w:eastAsia="黑体" w:cs="黑体"/>
                <w:b w:val="0"/>
                <w:bCs/>
                <w:snapToGrid w:val="0"/>
                <w:kern w:val="0"/>
                <w:sz w:val="22"/>
              </w:rPr>
              <w:t>噪声等效声级</w:t>
            </w:r>
          </w:p>
        </w:tc>
        <w:tc>
          <w:tcPr>
            <w:tcW w:w="1276" w:type="dxa"/>
            <w:noWrap w:val="0"/>
            <w:vAlign w:val="center"/>
          </w:tcPr>
          <w:p>
            <w:pPr>
              <w:adjustRightInd w:val="0"/>
              <w:snapToGrid w:val="0"/>
              <w:jc w:val="center"/>
              <w:rPr>
                <w:rFonts w:hint="eastAsia" w:ascii="黑体" w:hAnsi="黑体" w:eastAsia="黑体" w:cs="黑体"/>
                <w:b w:val="0"/>
                <w:bCs/>
                <w:snapToGrid w:val="0"/>
                <w:kern w:val="0"/>
                <w:sz w:val="22"/>
              </w:rPr>
            </w:pPr>
            <w:r>
              <w:rPr>
                <w:rFonts w:hint="eastAsia" w:ascii="黑体" w:hAnsi="黑体" w:eastAsia="黑体" w:cs="黑体"/>
                <w:b w:val="0"/>
                <w:bCs/>
                <w:snapToGrid w:val="0"/>
                <w:kern w:val="0"/>
                <w:sz w:val="22"/>
                <w:highlight w:val="none"/>
              </w:rPr>
              <w:t>其他因素</w:t>
            </w:r>
          </w:p>
        </w:tc>
        <w:tc>
          <w:tcPr>
            <w:tcW w:w="992" w:type="dxa"/>
            <w:vMerge w:val="continue"/>
            <w:noWrap w:val="0"/>
            <w:vAlign w:val="top"/>
          </w:tcPr>
          <w:p>
            <w:pPr>
              <w:adjustRightInd w:val="0"/>
              <w:snapToGrid w:val="0"/>
              <w:jc w:val="center"/>
              <w:rPr>
                <w:rFonts w:hint="eastAsia" w:ascii="黑体" w:hAnsi="黑体" w:eastAsia="黑体" w:cs="黑体"/>
                <w:b w:val="0"/>
                <w:bCs/>
                <w:snapToGrid w:val="0"/>
                <w:kern w:val="0"/>
                <w:sz w:val="22"/>
              </w:rPr>
            </w:pPr>
          </w:p>
        </w:tc>
        <w:tc>
          <w:tcPr>
            <w:tcW w:w="1381" w:type="dxa"/>
            <w:vMerge w:val="continue"/>
            <w:noWrap w:val="0"/>
            <w:vAlign w:val="top"/>
          </w:tcPr>
          <w:p>
            <w:pPr>
              <w:adjustRightInd w:val="0"/>
              <w:snapToGrid w:val="0"/>
              <w:jc w:val="center"/>
              <w:rPr>
                <w:rFonts w:hint="eastAsia" w:ascii="黑体" w:hAnsi="黑体" w:eastAsia="黑体" w:cs="黑体"/>
                <w:b w:val="0"/>
                <w:bCs/>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3992" w:type="dxa"/>
            <w:gridSpan w:val="13"/>
            <w:noWrap w:val="0"/>
            <w:vAlign w:val="center"/>
          </w:tcPr>
          <w:p>
            <w:pPr>
              <w:adjustRightInd w:val="0"/>
              <w:snapToGrid w:val="0"/>
              <w:rPr>
                <w:rFonts w:hint="eastAsia" w:ascii="仿宋_GB2312" w:hAnsi="仿宋_GB2312" w:eastAsia="仿宋_GB2312" w:cs="仿宋_GB2312"/>
              </w:rPr>
            </w:pPr>
            <w:r>
              <w:rPr>
                <w:rFonts w:hint="eastAsia" w:ascii="仿宋_GB2312" w:hAnsi="仿宋_GB2312" w:eastAsia="仿宋_GB2312" w:cs="仿宋_GB2312"/>
              </w:rPr>
              <w:t>注：①职业病危害因素名称和检测结果根据有效期内的</w:t>
            </w:r>
            <w:r>
              <w:rPr>
                <w:rFonts w:hint="eastAsia" w:ascii="仿宋_GB2312" w:hAnsi="仿宋_GB2312" w:eastAsia="仿宋_GB2312" w:cs="仿宋_GB2312"/>
                <w:lang w:eastAsia="zh-CN"/>
              </w:rPr>
              <w:t>用人单位职业病危害现状评价报告或</w:t>
            </w:r>
            <w:r>
              <w:rPr>
                <w:rFonts w:hint="eastAsia" w:ascii="仿宋_GB2312" w:hAnsi="仿宋_GB2312" w:eastAsia="仿宋_GB2312" w:cs="仿宋_GB2312"/>
              </w:rPr>
              <w:t>定期检测</w:t>
            </w:r>
            <w:r>
              <w:rPr>
                <w:rFonts w:hint="eastAsia" w:ascii="仿宋_GB2312" w:hAnsi="仿宋_GB2312" w:eastAsia="仿宋_GB2312" w:cs="仿宋_GB2312"/>
                <w:lang w:eastAsia="zh-CN"/>
              </w:rPr>
              <w:t>与评价</w:t>
            </w:r>
            <w:r>
              <w:rPr>
                <w:rFonts w:hint="eastAsia" w:ascii="仿宋_GB2312" w:hAnsi="仿宋_GB2312" w:eastAsia="仿宋_GB2312" w:cs="仿宋_GB2312"/>
              </w:rPr>
              <w:t>报告填写。</w:t>
            </w:r>
          </w:p>
          <w:p>
            <w:pPr>
              <w:adjustRightInd w:val="0"/>
              <w:snapToGrid w:val="0"/>
              <w:ind w:firstLine="420"/>
              <w:rPr>
                <w:rFonts w:hint="eastAsia" w:ascii="仿宋_GB2312" w:hAnsi="仿宋_GB2312" w:eastAsia="仿宋_GB2312" w:cs="仿宋_GB2312"/>
              </w:rPr>
            </w:pPr>
            <w:r>
              <w:rPr>
                <w:rFonts w:hint="eastAsia" w:ascii="仿宋_GB2312" w:hAnsi="仿宋_GB2312" w:eastAsia="仿宋_GB2312" w:cs="仿宋_GB2312"/>
              </w:rPr>
              <w:t>②C</w:t>
            </w:r>
            <w:r>
              <w:rPr>
                <w:rFonts w:hint="eastAsia" w:ascii="仿宋_GB2312" w:hAnsi="仿宋_GB2312" w:eastAsia="仿宋_GB2312" w:cs="仿宋_GB2312"/>
                <w:vertAlign w:val="subscript"/>
              </w:rPr>
              <w:t>TWA</w:t>
            </w:r>
            <w:r>
              <w:rPr>
                <w:rFonts w:hint="eastAsia" w:ascii="仿宋_GB2312" w:hAnsi="仿宋_GB2312" w:eastAsia="仿宋_GB2312" w:cs="仿宋_GB2312"/>
              </w:rPr>
              <w:t>为时间加权平均</w:t>
            </w:r>
            <w:r>
              <w:rPr>
                <w:rFonts w:hint="eastAsia" w:ascii="仿宋_GB2312" w:hAnsi="仿宋_GB2312" w:eastAsia="仿宋_GB2312" w:cs="仿宋_GB2312"/>
                <w:lang w:eastAsia="zh-CN"/>
              </w:rPr>
              <w:t>接触</w:t>
            </w:r>
            <w:r>
              <w:rPr>
                <w:rFonts w:hint="eastAsia" w:ascii="仿宋_GB2312" w:hAnsi="仿宋_GB2312" w:eastAsia="仿宋_GB2312" w:cs="仿宋_GB2312"/>
              </w:rPr>
              <w:t>浓度；C</w:t>
            </w:r>
            <w:r>
              <w:rPr>
                <w:rFonts w:hint="eastAsia" w:ascii="仿宋_GB2312" w:hAnsi="仿宋_GB2312" w:eastAsia="仿宋_GB2312" w:cs="仿宋_GB2312"/>
                <w:vertAlign w:val="subscript"/>
              </w:rPr>
              <w:t>STE</w:t>
            </w:r>
            <w:r>
              <w:rPr>
                <w:rFonts w:hint="eastAsia" w:ascii="仿宋_GB2312" w:hAnsi="仿宋_GB2312" w:eastAsia="仿宋_GB2312" w:cs="仿宋_GB2312"/>
              </w:rPr>
              <w:t>为短时间接触浓度；C</w:t>
            </w:r>
            <w:r>
              <w:rPr>
                <w:rFonts w:hint="eastAsia" w:ascii="仿宋_GB2312" w:hAnsi="仿宋_GB2312" w:eastAsia="仿宋_GB2312" w:cs="仿宋_GB2312"/>
                <w:vertAlign w:val="subscript"/>
              </w:rPr>
              <w:t>ME</w:t>
            </w:r>
            <w:r>
              <w:rPr>
                <w:rFonts w:hint="eastAsia" w:ascii="仿宋_GB2312" w:hAnsi="仿宋_GB2312" w:eastAsia="仿宋_GB2312" w:cs="仿宋_GB2312"/>
              </w:rPr>
              <w:t>为最高浓度；C</w:t>
            </w:r>
            <w:r>
              <w:rPr>
                <w:rFonts w:hint="eastAsia" w:ascii="仿宋_GB2312" w:hAnsi="仿宋_GB2312" w:eastAsia="仿宋_GB2312" w:cs="仿宋_GB2312"/>
                <w:vertAlign w:val="subscript"/>
              </w:rPr>
              <w:t>PE</w:t>
            </w:r>
            <w:r>
              <w:rPr>
                <w:rFonts w:hint="eastAsia" w:ascii="仿宋_GB2312" w:hAnsi="仿宋_GB2312" w:eastAsia="仿宋_GB2312" w:cs="仿宋_GB2312"/>
              </w:rPr>
              <w:t>为峰接触浓度。</w:t>
            </w:r>
          </w:p>
          <w:p>
            <w:pPr>
              <w:pStyle w:val="3"/>
              <w:ind w:firstLine="420"/>
              <w:rPr>
                <w:rFonts w:hint="eastAsia" w:eastAsia="宋体"/>
                <w:lang w:eastAsia="zh-CN"/>
              </w:rPr>
            </w:pPr>
            <w:r>
              <w:rPr>
                <w:rFonts w:hint="eastAsia" w:ascii="仿宋_GB2312" w:hAnsi="仿宋_GB2312" w:eastAsia="仿宋_GB2312" w:cs="仿宋_GB2312"/>
                <w:lang w:eastAsia="zh-CN"/>
              </w:rPr>
              <w:t>当同一岗位或地点具有多个检测结果时，应填报最高值。</w:t>
            </w:r>
          </w:p>
        </w:tc>
      </w:tr>
    </w:tbl>
    <w:p>
      <w:pPr>
        <w:pStyle w:val="3"/>
      </w:pPr>
    </w:p>
    <w:p>
      <w:pPr>
        <w:spacing w:line="540" w:lineRule="exact"/>
        <w:jc w:val="center"/>
        <w:rPr>
          <w:rFonts w:ascii="Times New Roman" w:hAnsi="Times New Roman" w:eastAsia="仿宋_GB2312" w:cs="Times New Roman"/>
          <w:b/>
          <w:bCs/>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
      <w:pPr>
        <w:spacing w:line="540" w:lineRule="exact"/>
        <w:jc w:val="center"/>
        <w:rPr>
          <w:rFonts w:hint="eastAsia" w:ascii="仿宋_GB2312" w:hAnsi="仿宋_GB2312" w:eastAsia="仿宋_GB2312" w:cs="仿宋_GB2312"/>
          <w:b/>
          <w:bCs/>
          <w:sz w:val="32"/>
          <w:szCs w:val="32"/>
        </w:rPr>
      </w:pPr>
    </w:p>
    <w:p>
      <w:pPr>
        <w:spacing w:line="540" w:lineRule="exact"/>
        <w:jc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附表1-3用人单位职业病危害风险</w:t>
      </w:r>
      <w:r>
        <w:rPr>
          <w:rFonts w:hint="eastAsia" w:ascii="黑体" w:hAnsi="黑体" w:eastAsia="黑体" w:cs="黑体"/>
          <w:b w:val="0"/>
          <w:bCs w:val="0"/>
          <w:sz w:val="32"/>
          <w:szCs w:val="32"/>
          <w:lang w:eastAsia="zh-CN"/>
        </w:rPr>
        <w:t>等级判定表</w:t>
      </w:r>
    </w:p>
    <w:tbl>
      <w:tblPr>
        <w:tblStyle w:val="8"/>
        <w:tblpPr w:leftFromText="180" w:rightFromText="180" w:vertAnchor="text" w:horzAnchor="page" w:tblpX="1792" w:tblpY="546"/>
        <w:tblOverlap w:val="never"/>
        <w:tblW w:w="8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9"/>
        <w:gridCol w:w="1625"/>
        <w:gridCol w:w="1599"/>
        <w:gridCol w:w="1598"/>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trPr>
        <w:tc>
          <w:tcPr>
            <w:tcW w:w="2509" w:type="dxa"/>
            <w:noWrap w:val="0"/>
            <w:vAlign w:val="center"/>
          </w:tcPr>
          <w:p>
            <w:pPr>
              <w:adjustRightInd w:val="0"/>
              <w:snapToGrid w:val="0"/>
              <w:jc w:val="center"/>
              <w:rPr>
                <w:rFonts w:hint="eastAsia" w:ascii="黑体" w:hAnsi="黑体" w:eastAsia="黑体" w:cs="黑体"/>
                <w:b w:val="0"/>
                <w:bCs/>
                <w:snapToGrid w:val="0"/>
                <w:kern w:val="0"/>
                <w:sz w:val="28"/>
                <w:szCs w:val="28"/>
              </w:rPr>
            </w:pPr>
            <w:r>
              <w:rPr>
                <w:rFonts w:hint="eastAsia" w:ascii="黑体" w:hAnsi="黑体" w:eastAsia="黑体" w:cs="黑体"/>
                <w:b w:val="0"/>
                <w:bCs/>
                <w:snapToGrid w:val="0"/>
                <w:kern w:val="0"/>
                <w:sz w:val="28"/>
                <w:szCs w:val="28"/>
              </w:rPr>
              <w:t>职业病危害因素</w:t>
            </w:r>
          </w:p>
          <w:p>
            <w:pPr>
              <w:adjustRightInd w:val="0"/>
              <w:snapToGrid w:val="0"/>
              <w:jc w:val="center"/>
              <w:rPr>
                <w:rFonts w:hint="eastAsia" w:ascii="黑体" w:hAnsi="黑体" w:eastAsia="黑体" w:cs="黑体"/>
                <w:b w:val="0"/>
                <w:bCs/>
                <w:snapToGrid w:val="0"/>
                <w:kern w:val="0"/>
                <w:sz w:val="28"/>
                <w:szCs w:val="28"/>
              </w:rPr>
            </w:pPr>
            <w:r>
              <w:rPr>
                <w:rFonts w:hint="eastAsia" w:ascii="黑体" w:hAnsi="黑体" w:eastAsia="黑体" w:cs="黑体"/>
                <w:b w:val="0"/>
                <w:bCs/>
                <w:snapToGrid w:val="0"/>
                <w:kern w:val="0"/>
                <w:sz w:val="28"/>
                <w:szCs w:val="28"/>
              </w:rPr>
              <w:t>性质</w:t>
            </w:r>
          </w:p>
        </w:tc>
        <w:tc>
          <w:tcPr>
            <w:tcW w:w="1625" w:type="dxa"/>
            <w:noWrap w:val="0"/>
            <w:vAlign w:val="center"/>
          </w:tcPr>
          <w:p>
            <w:pPr>
              <w:adjustRightInd w:val="0"/>
              <w:snapToGrid w:val="0"/>
              <w:jc w:val="center"/>
              <w:rPr>
                <w:rFonts w:hint="eastAsia" w:ascii="黑体" w:hAnsi="黑体" w:eastAsia="黑体" w:cs="黑体"/>
                <w:b w:val="0"/>
                <w:bCs/>
                <w:snapToGrid w:val="0"/>
                <w:kern w:val="0"/>
                <w:sz w:val="28"/>
                <w:szCs w:val="28"/>
              </w:rPr>
            </w:pPr>
            <w:r>
              <w:rPr>
                <w:rFonts w:hint="eastAsia" w:ascii="黑体" w:hAnsi="黑体" w:eastAsia="黑体" w:cs="黑体"/>
                <w:b w:val="0"/>
                <w:bCs/>
                <w:snapToGrid w:val="0"/>
                <w:kern w:val="0"/>
                <w:sz w:val="28"/>
                <w:szCs w:val="28"/>
              </w:rPr>
              <w:t>接触水平</w:t>
            </w:r>
          </w:p>
        </w:tc>
        <w:tc>
          <w:tcPr>
            <w:tcW w:w="1599" w:type="dxa"/>
            <w:noWrap w:val="0"/>
            <w:vAlign w:val="center"/>
          </w:tcPr>
          <w:p>
            <w:pPr>
              <w:adjustRightInd w:val="0"/>
              <w:snapToGrid w:val="0"/>
              <w:jc w:val="center"/>
              <w:rPr>
                <w:rFonts w:hint="eastAsia" w:ascii="黑体" w:hAnsi="黑体" w:eastAsia="黑体" w:cs="黑体"/>
                <w:b w:val="0"/>
                <w:bCs/>
                <w:snapToGrid w:val="0"/>
                <w:kern w:val="0"/>
                <w:sz w:val="28"/>
                <w:szCs w:val="28"/>
              </w:rPr>
            </w:pPr>
            <w:r>
              <w:rPr>
                <w:rFonts w:hint="eastAsia" w:ascii="黑体" w:hAnsi="黑体" w:eastAsia="黑体" w:cs="黑体"/>
                <w:b w:val="0"/>
                <w:bCs/>
                <w:snapToGrid w:val="0"/>
                <w:kern w:val="0"/>
                <w:sz w:val="28"/>
                <w:szCs w:val="28"/>
              </w:rPr>
              <w:t>接触人数</w:t>
            </w:r>
          </w:p>
        </w:tc>
        <w:tc>
          <w:tcPr>
            <w:tcW w:w="1598" w:type="dxa"/>
            <w:noWrap w:val="0"/>
            <w:vAlign w:val="center"/>
          </w:tcPr>
          <w:p>
            <w:pPr>
              <w:adjustRightInd w:val="0"/>
              <w:snapToGrid w:val="0"/>
              <w:jc w:val="center"/>
              <w:rPr>
                <w:rFonts w:hint="eastAsia" w:ascii="黑体" w:hAnsi="黑体" w:eastAsia="黑体" w:cs="黑体"/>
                <w:b w:val="0"/>
                <w:bCs/>
                <w:snapToGrid w:val="0"/>
                <w:kern w:val="0"/>
                <w:sz w:val="28"/>
                <w:szCs w:val="28"/>
                <w:lang w:eastAsia="zh-CN"/>
              </w:rPr>
            </w:pPr>
            <w:r>
              <w:rPr>
                <w:rFonts w:hint="eastAsia" w:ascii="黑体" w:hAnsi="黑体" w:eastAsia="黑体" w:cs="黑体"/>
                <w:b w:val="0"/>
                <w:bCs/>
                <w:snapToGrid w:val="0"/>
                <w:kern w:val="0"/>
                <w:sz w:val="28"/>
                <w:szCs w:val="28"/>
              </w:rPr>
              <w:t>风险</w:t>
            </w:r>
            <w:r>
              <w:rPr>
                <w:rFonts w:hint="eastAsia" w:ascii="黑体" w:hAnsi="黑体" w:eastAsia="黑体" w:cs="黑体"/>
                <w:b w:val="0"/>
                <w:bCs/>
                <w:snapToGrid w:val="0"/>
                <w:kern w:val="0"/>
                <w:sz w:val="28"/>
                <w:szCs w:val="28"/>
                <w:lang w:eastAsia="zh-CN"/>
              </w:rPr>
              <w:t>等级</w:t>
            </w:r>
          </w:p>
        </w:tc>
        <w:tc>
          <w:tcPr>
            <w:tcW w:w="1263" w:type="dxa"/>
            <w:noWrap w:val="0"/>
            <w:vAlign w:val="center"/>
          </w:tcPr>
          <w:p>
            <w:pPr>
              <w:adjustRightInd w:val="0"/>
              <w:snapToGrid w:val="0"/>
              <w:jc w:val="center"/>
              <w:rPr>
                <w:rFonts w:hint="eastAsia" w:ascii="黑体" w:hAnsi="黑体" w:eastAsia="黑体" w:cs="黑体"/>
                <w:b w:val="0"/>
                <w:bCs/>
                <w:snapToGrid w:val="0"/>
                <w:kern w:val="0"/>
                <w:sz w:val="28"/>
                <w:szCs w:val="28"/>
                <w:lang w:eastAsia="zh-CN"/>
              </w:rPr>
            </w:pPr>
            <w:r>
              <w:rPr>
                <w:rFonts w:hint="eastAsia" w:ascii="黑体" w:hAnsi="黑体" w:eastAsia="黑体" w:cs="黑体"/>
                <w:b w:val="0"/>
                <w:bCs/>
                <w:snapToGrid w:val="0"/>
                <w:kern w:val="0"/>
                <w:sz w:val="28"/>
                <w:szCs w:val="28"/>
                <w:lang w:eastAsia="zh-CN"/>
              </w:rPr>
              <w:t>风险等级判定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2509" w:type="dxa"/>
            <w:vMerge w:val="restart"/>
            <w:noWrap w:val="0"/>
            <w:vAlign w:val="center"/>
          </w:tcPr>
          <w:p>
            <w:pPr>
              <w:adjustRightInd w:val="0"/>
              <w:snapToGrid w:val="0"/>
              <w:jc w:val="center"/>
              <w:rPr>
                <w:rFonts w:ascii="Times New Roman" w:hAnsi="Times New Roman" w:eastAsia="仿宋_GB2312" w:cs="Times New Roman"/>
                <w:bCs/>
                <w:snapToGrid w:val="0"/>
                <w:kern w:val="0"/>
                <w:sz w:val="28"/>
                <w:szCs w:val="28"/>
              </w:rPr>
            </w:pPr>
            <w:r>
              <w:rPr>
                <w:rFonts w:ascii="Times New Roman" w:hAnsi="Times New Roman" w:eastAsia="仿宋_GB2312" w:cs="Times New Roman"/>
                <w:bCs/>
                <w:snapToGrid w:val="0"/>
                <w:kern w:val="0"/>
                <w:sz w:val="28"/>
                <w:szCs w:val="28"/>
              </w:rPr>
              <w:t>一般</w:t>
            </w:r>
          </w:p>
        </w:tc>
        <w:tc>
          <w:tcPr>
            <w:tcW w:w="1625" w:type="dxa"/>
            <w:noWrap w:val="0"/>
            <w:vAlign w:val="center"/>
          </w:tcPr>
          <w:p>
            <w:pPr>
              <w:adjustRightInd w:val="0"/>
              <w:snapToGrid w:val="0"/>
              <w:jc w:val="center"/>
              <w:rPr>
                <w:rFonts w:ascii="Times New Roman" w:hAnsi="Times New Roman" w:eastAsia="仿宋_GB2312" w:cs="Times New Roman"/>
                <w:bCs/>
                <w:snapToGrid w:val="0"/>
                <w:kern w:val="0"/>
                <w:sz w:val="28"/>
                <w:szCs w:val="28"/>
              </w:rPr>
            </w:pPr>
            <w:r>
              <w:rPr>
                <w:rFonts w:hint="eastAsia" w:ascii="Times New Roman" w:hAnsi="Times New Roman" w:eastAsia="仿宋_GB2312" w:cs="Times New Roman"/>
                <w:bCs/>
                <w:snapToGrid w:val="0"/>
                <w:kern w:val="0"/>
                <w:sz w:val="28"/>
                <w:szCs w:val="28"/>
              </w:rPr>
              <w:t>符合</w:t>
            </w:r>
          </w:p>
        </w:tc>
        <w:tc>
          <w:tcPr>
            <w:tcW w:w="1599" w:type="dxa"/>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1598" w:type="dxa"/>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1263" w:type="dxa"/>
            <w:vMerge w:val="restart"/>
            <w:noWrap w:val="0"/>
            <w:vAlign w:val="center"/>
          </w:tcPr>
          <w:p>
            <w:pPr>
              <w:adjustRightInd w:val="0"/>
              <w:snapToGrid w:val="0"/>
              <w:jc w:val="center"/>
              <w:rPr>
                <w:rFonts w:ascii="Times New Roman" w:hAnsi="Times New Roman" w:eastAsia="仿宋_GB2312" w:cs="Times New Roman"/>
                <w:b/>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2509" w:type="dxa"/>
            <w:vMerge w:val="continue"/>
            <w:noWrap w:val="0"/>
            <w:vAlign w:val="center"/>
          </w:tcPr>
          <w:p>
            <w:pPr>
              <w:adjustRightInd w:val="0"/>
              <w:snapToGrid w:val="0"/>
              <w:jc w:val="center"/>
              <w:rPr>
                <w:rFonts w:ascii="Times New Roman" w:hAnsi="Times New Roman" w:eastAsia="仿宋_GB2312" w:cs="Times New Roman"/>
                <w:bCs/>
                <w:snapToGrid w:val="0"/>
                <w:kern w:val="0"/>
                <w:sz w:val="28"/>
                <w:szCs w:val="28"/>
              </w:rPr>
            </w:pPr>
          </w:p>
        </w:tc>
        <w:tc>
          <w:tcPr>
            <w:tcW w:w="1625" w:type="dxa"/>
            <w:noWrap w:val="0"/>
            <w:vAlign w:val="center"/>
          </w:tcPr>
          <w:p>
            <w:pPr>
              <w:adjustRightInd w:val="0"/>
              <w:snapToGrid w:val="0"/>
              <w:jc w:val="center"/>
              <w:rPr>
                <w:rFonts w:ascii="Times New Roman" w:hAnsi="Times New Roman" w:eastAsia="仿宋_GB2312" w:cs="Times New Roman"/>
                <w:bCs/>
                <w:snapToGrid w:val="0"/>
                <w:kern w:val="0"/>
                <w:sz w:val="28"/>
                <w:szCs w:val="28"/>
              </w:rPr>
            </w:pPr>
            <w:r>
              <w:rPr>
                <w:rFonts w:hint="eastAsia" w:ascii="Times New Roman" w:hAnsi="Times New Roman" w:eastAsia="仿宋_GB2312" w:cs="Times New Roman"/>
                <w:bCs/>
                <w:snapToGrid w:val="0"/>
                <w:kern w:val="0"/>
                <w:sz w:val="28"/>
                <w:szCs w:val="28"/>
              </w:rPr>
              <w:t>不符合</w:t>
            </w:r>
          </w:p>
        </w:tc>
        <w:tc>
          <w:tcPr>
            <w:tcW w:w="1599" w:type="dxa"/>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1598" w:type="dxa"/>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1263" w:type="dxa"/>
            <w:vMerge w:val="continue"/>
            <w:noWrap w:val="0"/>
            <w:vAlign w:val="top"/>
          </w:tcPr>
          <w:p>
            <w:pPr>
              <w:adjustRightInd w:val="0"/>
              <w:snapToGrid w:val="0"/>
              <w:jc w:val="center"/>
              <w:rPr>
                <w:rFonts w:ascii="Times New Roman" w:hAnsi="Times New Roman" w:eastAsia="仿宋_GB2312" w:cs="Times New Roman"/>
                <w:b/>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2509" w:type="dxa"/>
            <w:vMerge w:val="restart"/>
            <w:noWrap w:val="0"/>
            <w:vAlign w:val="center"/>
          </w:tcPr>
          <w:p>
            <w:pPr>
              <w:adjustRightInd w:val="0"/>
              <w:snapToGrid w:val="0"/>
              <w:jc w:val="center"/>
              <w:rPr>
                <w:rFonts w:ascii="Times New Roman" w:hAnsi="Times New Roman" w:eastAsia="仿宋_GB2312" w:cs="Times New Roman"/>
                <w:bCs/>
                <w:snapToGrid w:val="0"/>
                <w:kern w:val="0"/>
                <w:sz w:val="28"/>
                <w:szCs w:val="28"/>
              </w:rPr>
            </w:pPr>
            <w:r>
              <w:rPr>
                <w:rFonts w:ascii="Times New Roman" w:hAnsi="Times New Roman" w:eastAsia="仿宋_GB2312" w:cs="Times New Roman"/>
                <w:bCs/>
                <w:snapToGrid w:val="0"/>
                <w:kern w:val="0"/>
                <w:sz w:val="28"/>
                <w:szCs w:val="28"/>
              </w:rPr>
              <w:t>严重</w:t>
            </w:r>
          </w:p>
        </w:tc>
        <w:tc>
          <w:tcPr>
            <w:tcW w:w="1625" w:type="dxa"/>
            <w:noWrap w:val="0"/>
            <w:vAlign w:val="center"/>
          </w:tcPr>
          <w:p>
            <w:pPr>
              <w:adjustRightInd w:val="0"/>
              <w:snapToGrid w:val="0"/>
              <w:jc w:val="center"/>
              <w:rPr>
                <w:rFonts w:hint="eastAsia" w:ascii="Times New Roman" w:hAnsi="Times New Roman" w:eastAsia="仿宋_GB2312" w:cs="Times New Roman"/>
                <w:bCs/>
                <w:snapToGrid w:val="0"/>
                <w:kern w:val="0"/>
                <w:sz w:val="28"/>
                <w:szCs w:val="28"/>
              </w:rPr>
            </w:pPr>
            <w:r>
              <w:rPr>
                <w:rFonts w:hint="eastAsia" w:ascii="Times New Roman" w:hAnsi="Times New Roman" w:eastAsia="仿宋_GB2312" w:cs="Times New Roman"/>
                <w:bCs/>
                <w:snapToGrid w:val="0"/>
                <w:kern w:val="0"/>
                <w:sz w:val="28"/>
                <w:szCs w:val="28"/>
              </w:rPr>
              <w:t>符合</w:t>
            </w:r>
          </w:p>
        </w:tc>
        <w:tc>
          <w:tcPr>
            <w:tcW w:w="1599" w:type="dxa"/>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1598" w:type="dxa"/>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1263" w:type="dxa"/>
            <w:vMerge w:val="continue"/>
            <w:noWrap w:val="0"/>
            <w:vAlign w:val="top"/>
          </w:tcPr>
          <w:p>
            <w:pPr>
              <w:adjustRightInd w:val="0"/>
              <w:snapToGrid w:val="0"/>
              <w:jc w:val="center"/>
              <w:rPr>
                <w:rFonts w:ascii="Times New Roman" w:hAnsi="Times New Roman" w:eastAsia="仿宋_GB2312" w:cs="Times New Roman"/>
                <w:b/>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2509" w:type="dxa"/>
            <w:vMerge w:val="continue"/>
            <w:noWrap w:val="0"/>
            <w:vAlign w:val="top"/>
          </w:tcPr>
          <w:p>
            <w:pPr>
              <w:adjustRightInd w:val="0"/>
              <w:snapToGrid w:val="0"/>
              <w:jc w:val="center"/>
              <w:rPr>
                <w:rFonts w:ascii="Times New Roman" w:hAnsi="Times New Roman" w:eastAsia="仿宋_GB2312" w:cs="Times New Roman"/>
                <w:bCs/>
                <w:snapToGrid w:val="0"/>
                <w:kern w:val="0"/>
                <w:sz w:val="28"/>
                <w:szCs w:val="28"/>
              </w:rPr>
            </w:pPr>
          </w:p>
        </w:tc>
        <w:tc>
          <w:tcPr>
            <w:tcW w:w="1625" w:type="dxa"/>
            <w:noWrap w:val="0"/>
            <w:vAlign w:val="center"/>
          </w:tcPr>
          <w:p>
            <w:pPr>
              <w:adjustRightInd w:val="0"/>
              <w:snapToGrid w:val="0"/>
              <w:jc w:val="center"/>
              <w:rPr>
                <w:rFonts w:ascii="Times New Roman" w:hAnsi="Times New Roman" w:eastAsia="仿宋_GB2312" w:cs="Times New Roman"/>
                <w:bCs/>
                <w:snapToGrid w:val="0"/>
                <w:kern w:val="0"/>
                <w:sz w:val="28"/>
                <w:szCs w:val="28"/>
              </w:rPr>
            </w:pPr>
            <w:r>
              <w:rPr>
                <w:rFonts w:hint="eastAsia" w:ascii="Times New Roman" w:hAnsi="Times New Roman" w:eastAsia="仿宋_GB2312" w:cs="Times New Roman"/>
                <w:bCs/>
                <w:snapToGrid w:val="0"/>
                <w:kern w:val="0"/>
                <w:sz w:val="28"/>
                <w:szCs w:val="28"/>
              </w:rPr>
              <w:t>不符合</w:t>
            </w:r>
          </w:p>
        </w:tc>
        <w:tc>
          <w:tcPr>
            <w:tcW w:w="1599" w:type="dxa"/>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1598" w:type="dxa"/>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1263" w:type="dxa"/>
            <w:vMerge w:val="continue"/>
            <w:noWrap w:val="0"/>
            <w:vAlign w:val="top"/>
          </w:tcPr>
          <w:p>
            <w:pPr>
              <w:adjustRightInd w:val="0"/>
              <w:snapToGrid w:val="0"/>
              <w:jc w:val="center"/>
              <w:rPr>
                <w:rFonts w:ascii="Times New Roman" w:hAnsi="Times New Roman" w:eastAsia="仿宋_GB2312" w:cs="Times New Roman"/>
                <w:b/>
                <w:snapToGrid w:val="0"/>
                <w:kern w:val="0"/>
                <w:sz w:val="28"/>
                <w:szCs w:val="28"/>
              </w:rPr>
            </w:pPr>
          </w:p>
        </w:tc>
      </w:tr>
    </w:tbl>
    <w:p/>
    <w:p>
      <w:bookmarkStart w:id="0" w:name="_GoBack"/>
      <w:bookmarkEnd w:id="0"/>
    </w:p>
    <w:sectPr>
      <w:pgSz w:w="11906" w:h="16838"/>
      <w:pgMar w:top="1440" w:right="1803" w:bottom="1440" w:left="1803"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7EE4F1"/>
    <w:multiLevelType w:val="singleLevel"/>
    <w:tmpl w:val="EB7EE4F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37719"/>
    <w:rsid w:val="3705072B"/>
    <w:rsid w:val="52957A7A"/>
    <w:rsid w:val="5D801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szCs w:val="24"/>
    </w:rPr>
  </w:style>
  <w:style w:type="paragraph" w:styleId="3">
    <w:name w:val="Body Text"/>
    <w:basedOn w:val="1"/>
    <w:qFormat/>
    <w:uiPriority w:val="0"/>
    <w:pPr>
      <w:spacing w:beforeLines="0" w:after="120" w:afterLines="0"/>
    </w:pPr>
    <w:rPr>
      <w:rFonts w:hint="default"/>
      <w:sz w:val="21"/>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Body Text First Indent"/>
    <w:basedOn w:val="3"/>
    <w:qFormat/>
    <w:uiPriority w:val="0"/>
    <w:pPr>
      <w:spacing w:beforeLines="0" w:afterLines="0"/>
      <w:ind w:firstLine="420" w:firstLineChars="100"/>
    </w:pPr>
    <w:rPr>
      <w:rFonts w:hint="default"/>
      <w:sz w:val="21"/>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2022-11-01T09:04:14Z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