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napToGrid w:val="0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中医药文化周宣传活动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总结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p>
      <w:pPr>
        <w:snapToGrid w:val="0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5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活动组织方面的做法、经验和成效（简述）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存在问题及建议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31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工作人员参与情况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参与活动机构：       家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医务人员：           人</w:t>
            </w:r>
          </w:p>
          <w:p>
            <w:pPr>
              <w:ind w:firstLine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其中，中医师：         人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护理人员：       人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参与志愿者：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1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惠及群众人数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尽可能准确，估算（仅指参与现场活动群众人数）：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31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宣传资料情况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发放宣传资料：    份（册、页）；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宣传展示板：         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媒体报道数量（篇次）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（含电视、广播、网站等）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影像资料收集情况（是否上报）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6"/>
          <w:cols w:space="720" w:num="1"/>
          <w:docGrid w:type="lines" w:linePitch="312" w:charSpace="0"/>
        </w:sect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snapToGrid w:val="0"/>
        <w:spacing w:line="120" w:lineRule="auto"/>
        <w:rPr>
          <w:rFonts w:hint="default"/>
          <w:sz w:val="36"/>
          <w:szCs w:val="36"/>
          <w:lang w:val="en-US" w:eastAsia="zh-CN"/>
        </w:rPr>
      </w:pPr>
    </w:p>
    <w:p>
      <w:pPr>
        <w:snapToGrid w:val="0"/>
        <w:spacing w:line="120" w:lineRule="auto"/>
        <w:rPr>
          <w:rFonts w:hint="default"/>
          <w:sz w:val="36"/>
          <w:szCs w:val="36"/>
          <w:lang w:val="en-US" w:eastAsia="zh-CN"/>
        </w:rPr>
      </w:pPr>
    </w:p>
    <w:p>
      <w:pPr>
        <w:snapToGrid w:val="0"/>
        <w:spacing w:line="120" w:lineRule="auto"/>
        <w:rPr>
          <w:rFonts w:hint="default"/>
          <w:sz w:val="36"/>
          <w:szCs w:val="36"/>
          <w:lang w:val="en-US" w:eastAsia="zh-CN"/>
        </w:rPr>
      </w:pPr>
    </w:p>
    <w:p>
      <w:pPr>
        <w:snapToGrid w:val="0"/>
        <w:spacing w:line="120" w:lineRule="auto"/>
        <w:rPr>
          <w:rFonts w:hint="default"/>
          <w:sz w:val="36"/>
          <w:szCs w:val="36"/>
          <w:lang w:val="en-US" w:eastAsia="zh-CN"/>
        </w:rPr>
      </w:pPr>
    </w:p>
    <w:p>
      <w:pPr>
        <w:snapToGrid w:val="0"/>
        <w:spacing w:line="120" w:lineRule="auto"/>
        <w:rPr>
          <w:rFonts w:hint="default"/>
          <w:sz w:val="36"/>
          <w:szCs w:val="36"/>
          <w:lang w:val="en-US" w:eastAsia="zh-CN"/>
        </w:rPr>
      </w:pPr>
    </w:p>
    <w:p>
      <w:pPr>
        <w:snapToGrid w:val="0"/>
        <w:spacing w:line="120" w:lineRule="auto"/>
        <w:rPr>
          <w:rFonts w:hint="default"/>
          <w:sz w:val="36"/>
          <w:szCs w:val="36"/>
          <w:lang w:val="en-US" w:eastAsia="zh-CN"/>
        </w:rPr>
      </w:pPr>
    </w:p>
    <w:p>
      <w:pPr>
        <w:snapToGrid w:val="0"/>
        <w:spacing w:line="120" w:lineRule="auto"/>
        <w:rPr>
          <w:rFonts w:hint="default"/>
          <w:sz w:val="36"/>
          <w:szCs w:val="36"/>
          <w:lang w:val="en-US" w:eastAsia="zh-CN"/>
        </w:rPr>
      </w:pPr>
    </w:p>
    <w:p>
      <w:pPr>
        <w:snapToGrid w:val="0"/>
        <w:spacing w:line="590" w:lineRule="exact"/>
        <w:ind w:left="1119" w:leftChars="133" w:hanging="840" w:hangingChars="300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抄送：</w:t>
      </w:r>
      <w:bookmarkStart w:id="0" w:name="copydelivery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国家中医药管理局办公室，福建中医药大学，福建省中医药学会、福建省中西医结合学会、福建省针灸学会、福建省中药材产业协会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75EC1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2022-10-10T02:06:07Z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3DC0F4F0DA29409B9C8D5B994A843639</vt:lpwstr>
  </property>
</Properties>
</file>