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rightChars="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附件1</w:t>
      </w:r>
    </w:p>
    <w:p>
      <w:pPr>
        <w:widowControl w:val="0"/>
        <w:adjustRightInd w:val="0"/>
        <w:snapToGrid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240" w:lineRule="auto"/>
        <w:ind w:right="0" w:righ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2022年12类原国家基本公共卫生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240" w:lineRule="auto"/>
        <w:ind w:right="0" w:righ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服务项目主要目标任务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 w:rightChars="0" w:firstLine="320" w:firstLineChars="1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居民规范化电子健康档案覆盖率≥61%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适龄儿童国家免疫规划疫苗接种率≥90%</w:t>
      </w:r>
    </w:p>
    <w:p>
      <w:pPr>
        <w:numPr>
          <w:ilvl w:val="0"/>
          <w:numId w:val="1"/>
        </w:numPr>
        <w:tabs>
          <w:tab w:val="left" w:pos="0"/>
          <w:tab w:val="clear" w:pos="312"/>
        </w:tabs>
        <w:adjustRightInd w:val="0"/>
        <w:snapToGrid w:val="0"/>
        <w:spacing w:line="590" w:lineRule="exact"/>
        <w:ind w:left="419" w:hanging="419" w:hangingChars="131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0-6岁儿童健康管理率≥85%,0-6岁儿童眼保健和视力检查覆盖率≥90%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早孕建册率≥90%,产后访视率≥90%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65岁及以上老年人城乡社区规范健康管理服务率≥72%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高血压患者基层规范管理服务率≥75%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2型糖尿病患者基层规范管理服务率≥75%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社区在册居家严重精神障碍患者健康管理率≥80%</w:t>
      </w:r>
    </w:p>
    <w:p>
      <w:pPr>
        <w:numPr>
          <w:ilvl w:val="0"/>
          <w:numId w:val="1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肺结核患者管理率≥90%</w:t>
      </w:r>
    </w:p>
    <w:p>
      <w:pPr>
        <w:numPr>
          <w:ilvl w:val="0"/>
          <w:numId w:val="0"/>
        </w:numPr>
        <w:snapToGrid w:val="0"/>
        <w:spacing w:line="590" w:lineRule="exact"/>
        <w:ind w:left="432" w:hanging="432" w:hangingChars="135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10.老年人中医药健康管理率≥70%,儿童中医药健康管理率≥77%</w:t>
      </w:r>
    </w:p>
    <w:p>
      <w:pPr>
        <w:numPr>
          <w:ilvl w:val="0"/>
          <w:numId w:val="0"/>
        </w:numPr>
        <w:snapToGrid w:val="0"/>
        <w:spacing w:line="59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11.传染病和突发公共卫生事件报告率≥95%</w:t>
      </w:r>
    </w:p>
    <w:p>
      <w:pPr>
        <w:numPr>
          <w:ilvl w:val="0"/>
          <w:numId w:val="0"/>
        </w:numPr>
        <w:snapToGrid w:val="0"/>
        <w:spacing w:line="590" w:lineRule="exact"/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12.居民健康素养水平≥25%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4660265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9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/VH7U1wAAAAs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ECCFF"/>
    <w:multiLevelType w:val="singleLevel"/>
    <w:tmpl w:val="EB9ECC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A8A3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2022-08-23T01:45:04Z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5EE21A5A26AC490EA9F71D041AFA5F0B</vt:lpwstr>
  </property>
</Properties>
</file>