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老年心理关爱行动主要工作指标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一、市级指标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(一)行动县区覆盖率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“十四五”期间新开展行动的县区数/本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“十四五”期间应开展行动的县区数×100％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(二)人员培训率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参加培训的行动相关工作人员人数/本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参与行动的相关工作人员人数×100％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老年心理关爱点指标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(一)评估覆盖率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完成心理健康评估的65岁及以上常住老年人数/65岁及以上常住老年人数×100％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(二)高危人群干预率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完成心理健康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</w:rPr>
        <w:t>预的高危人群人数/高危人群人数×100％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(三)重点人群随访管理率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接受随访的重点人群人数/重点人群人数X100％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11FA9"/>
    <w:multiLevelType w:val="singleLevel"/>
    <w:tmpl w:val="62B11FA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32726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2022-06-28T01:15:14Z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47ABBECB8D84406C85C2681A695E067B</vt:lpwstr>
  </property>
</Properties>
</file>