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napToGrid w:val="0"/>
        <w:ind w:firstLine="440" w:firstLineChars="10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2022年乡村医生执业能力提升</w:t>
      </w:r>
    </w:p>
    <w:p>
      <w:pPr>
        <w:snapToGrid w:val="0"/>
        <w:ind w:firstLine="440" w:firstLineChars="10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线下培训预报名表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02"/>
        <w:gridCol w:w="899"/>
        <w:gridCol w:w="766"/>
        <w:gridCol w:w="2729"/>
        <w:gridCol w:w="199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年龄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所在村卫生所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（填写</w:t>
            </w:r>
            <w:r>
              <w:rPr>
                <w:rFonts w:hint="eastAsia" w:ascii="仿宋_GB2312" w:hAnsi="Arial" w:eastAsia="仿宋_GB2312" w:cs="Arial"/>
                <w:sz w:val="15"/>
                <w:szCs w:val="15"/>
              </w:rPr>
              <w:t>××</w:t>
            </w: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县</w:t>
            </w:r>
            <w:r>
              <w:rPr>
                <w:rFonts w:hint="eastAsia" w:ascii="仿宋_GB2312" w:hAnsi="Arial" w:eastAsia="仿宋_GB2312" w:cs="Arial"/>
                <w:sz w:val="15"/>
                <w:szCs w:val="15"/>
              </w:rPr>
              <w:t>××</w:t>
            </w: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乡镇</w:t>
            </w:r>
            <w:r>
              <w:rPr>
                <w:rFonts w:hint="eastAsia" w:ascii="仿宋_GB2312" w:hAnsi="Arial" w:eastAsia="仿宋_GB2312" w:cs="Arial"/>
                <w:sz w:val="15"/>
                <w:szCs w:val="15"/>
              </w:rPr>
              <w:t>××</w:t>
            </w: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村卫生所）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服务村所是否实行一体化管理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（填写“是”或“否”）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联系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第一批（拟安排于2022年3月1日— 3月9日）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第二批（拟安排于2022年3月16日—3月24日）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第三批（拟安排于2022年4月7日— 4月15日）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第四批（拟安排于2022年4月22日—4月30日）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第五批（拟安排于2022年5月9日—5月17日）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62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第六批（拟安排于2022年5月23日—5月31日）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247" w:bottom="1701" w:left="1247" w:header="851" w:footer="1588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71" w:rightChars="129" w:firstLine="154" w:firstLineChars="55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F2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2021-09-23T04:15:12Z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1DA5D13C5ACD467897CE3A778EEAC4F7</vt:lpwstr>
  </property>
</Properties>
</file>