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240" w:lineRule="auto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福建省检查检验结果互认条件及项目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简体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 一、医学影像检查</w:t>
      </w:r>
    </w:p>
    <w:p>
      <w:pPr>
        <w:adjustRightInd w:val="0"/>
        <w:snapToGrid w:val="0"/>
        <w:spacing w:line="590" w:lineRule="exact"/>
        <w:rPr>
          <w:rFonts w:hint="eastAsia" w:ascii="楷体_GB2312" w:hAnsi="楷体" w:eastAsia="楷体_GB2312" w:cs="楷体"/>
          <w:b/>
          <w:bCs/>
          <w:color w:val="000000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color w:val="000000"/>
          <w:sz w:val="32"/>
          <w:szCs w:val="32"/>
        </w:rPr>
        <w:t xml:space="preserve">    </w:t>
      </w:r>
      <w:r>
        <w:rPr>
          <w:rFonts w:hint="eastAsia" w:ascii="楷体_GB2312" w:hAnsi="楷体" w:eastAsia="楷体_GB2312" w:cs="楷体"/>
          <w:b/>
          <w:bCs/>
          <w:color w:val="000000"/>
          <w:sz w:val="32"/>
          <w:szCs w:val="32"/>
        </w:rPr>
        <w:t>（一）互认条件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1.取得“放射诊疗许可证”、每年参加并完成原国家卫生计生委办公厅《关于开展医疗卫生专项监督检查工作通知》（国卫办监督函〔2013〕37号）的项目。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2.建设有医学影像信息系统（PACS），并能满足工作需求，PACS能与RIS、HIS完好衔接。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3.技术操作规范，图像处理按诊断的需要进行后处理，图像质量清晰，符合诊断要求，病人基本信息及检查日期准确。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4.医学影像检查的报告和资料的文字符合医疗文件书写规范的要求，字迹清楚，病变相关数据准确。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5.普通的影像报告由主治医师及以上技术职称的医师审核，疑难病例应由具有副主任医师及以上技术职称的医师审核。</w:t>
      </w:r>
    </w:p>
    <w:p>
      <w:pPr>
        <w:adjustRightInd w:val="0"/>
        <w:snapToGrid w:val="0"/>
        <w:spacing w:line="590" w:lineRule="exact"/>
        <w:rPr>
          <w:rFonts w:hint="eastAsia" w:ascii="楷体_GB2312" w:hAnsi="楷体" w:eastAsia="楷体_GB2312" w:cs="楷体"/>
          <w:b/>
          <w:bCs/>
          <w:color w:val="000000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color w:val="000000"/>
          <w:sz w:val="32"/>
          <w:szCs w:val="32"/>
        </w:rPr>
        <w:t xml:space="preserve">    </w:t>
      </w:r>
      <w:r>
        <w:rPr>
          <w:rFonts w:hint="eastAsia" w:ascii="楷体_GB2312" w:hAnsi="楷体" w:eastAsia="楷体_GB2312" w:cs="楷体"/>
          <w:b/>
          <w:bCs/>
          <w:color w:val="000000"/>
          <w:sz w:val="32"/>
          <w:szCs w:val="32"/>
        </w:rPr>
        <w:t>（二）互认项目（3类55项）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  <w:t>1.普通放射检查（10项）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（1）数字X成像（DR）：胸部、四肢及关节、脊柱（颈椎、胸椎、腰椎、骶椎）、骨盆、腹部（立位、卧位、倒立位）摄片。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（2）数字化平板乳腺摄片检查（CC、MLO位）、必要时局部加压。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  <w:t>2.CT检查（21项）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（1）头颅平扫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（2）副鼻窦平扫（轴位及冠状位多平面重建）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（3）鼻咽部平扫+增强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（4）颈部平扫+增强（颈部CT平扫不作为互认项目）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（5）胸部平扫（含薄层轴位像及病灶区多平面重建像）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（6）胸部平扫+增强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（7）上腹部平扫+增强（三期扫描）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（8）中腹部平扫+增强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（9）下腹部平扫+增强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（10）头颈部CTA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（11）冠脉CTA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（12）肺动脉CTA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（13）胸腹主CTA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（14）左房肺静脉CTA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（15）双肾盂输尿管膀胱CTU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（16）颈椎间盘CT平扫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（17）胸椎CT平扫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（18）腰椎间盘CT平扫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（19）下肢动脉CTA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（20）内听道CT平扫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（21）四肢CT平扫+三维重建+多平面重建</w:t>
      </w:r>
    </w:p>
    <w:p>
      <w:pPr>
        <w:adjustRightInd w:val="0"/>
        <w:snapToGrid w:val="0"/>
        <w:spacing w:line="590" w:lineRule="exact"/>
        <w:ind w:firstLine="643" w:firstLineChars="200"/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  <w:t>3.MRI检查（24项）：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（1）颅脑平扫（T1WI，T2WI，FLAIR，DWI）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（2）颅脑平扫+增强（T1WI、T2WI、FLAIR，DWI）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（3）垂体（平扫+动态增强）（T1WI、T2WI）/（Sag，Cor）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（4）颈部（平扫）（T1WI、T2WI）/（Tra，Cor）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（5）颈部（平扫+增强）（T1WI、T2WI）/（Tra，sag，Cor）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（6）脊柱平扫（T1WI、T2WI）/（Tra，Sag）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（7）脊柱平扫+增强（T1WI、T2WI）/（Tra，Sag、Cor）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（8）上腹部平扫（T1WI、T2W/压脂T2WI）/（Tra，Cor或Sag、DWI）</w:t>
      </w:r>
    </w:p>
    <w:p>
      <w:pPr>
        <w:tabs>
          <w:tab w:val="left" w:pos="3780"/>
        </w:tabs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（9）上腹部（平扫+动态增强）（T1WI、T2WI/压脂T2WI）/（Tra，Cor或Sag、DWI）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（10）下腹部平扫（T1WI、T2WI/压脂T2WI）/（Tra，Cor或Sag，DWI）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（11）下腹部（平扫+动态增强）（T1WI、T2WI/压脂T2WI）/（Tra，Cor或Sag，DWI）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（12）双髋关节（T1WI、T2WI、压脂T2WI）/（Tra，Cor）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（13）膝关节（T1WI、T2WI、PDWI或压脂T2WI）/（Cor，Sag、Tra（或重建的Tra）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（14）乳腺平扫（T1WI、压脂T2WI、DWI）/（Tra、Sag或Cor）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（15）乳腺（平扫+动态增强）（T1WI、压脂T2WI、DWI）/（Tra、Sag或Cor）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（16）颅脑MRA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（17）颅脑MRA（增强）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（18）颅脑MRV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（19）颅脑MRV（增强）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（20）颈部MRA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（21）颈部MRA（增强）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（22）内耳平扫（T1WI、T2WI）/（Tra、Cor）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（23）内耳水成像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（24）四肢小关节（平扫）（包括肘关节、踝关节、肩关节等）（T1WI、T2WI、PDWI或压脂T2WI）（Cor、Tra+Sag）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二、医学检验</w:t>
      </w:r>
    </w:p>
    <w:p>
      <w:pPr>
        <w:adjustRightInd w:val="0"/>
        <w:snapToGrid w:val="0"/>
        <w:spacing w:line="590" w:lineRule="exact"/>
        <w:ind w:firstLine="630" w:firstLineChars="196"/>
        <w:rPr>
          <w:rFonts w:hint="eastAsia" w:ascii="楷体_GB2312" w:hAnsi="楷体" w:eastAsia="楷体_GB2312" w:cs="楷体"/>
          <w:b/>
          <w:bCs/>
          <w:color w:val="000000"/>
          <w:sz w:val="32"/>
          <w:szCs w:val="32"/>
        </w:rPr>
      </w:pPr>
      <w:bookmarkStart w:id="0" w:name="_Hlt370736416"/>
      <w:bookmarkStart w:id="1" w:name="_Hlt370736415"/>
      <w:r>
        <w:rPr>
          <w:rFonts w:hint="eastAsia" w:ascii="楷体_GB2312" w:hAnsi="楷体" w:eastAsia="楷体_GB2312" w:cs="楷体"/>
          <w:b/>
          <w:bCs/>
          <w:color w:val="000000"/>
          <w:sz w:val="32"/>
          <w:szCs w:val="32"/>
        </w:rPr>
        <w:t>（一）互认条件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1.实验室具有信息系统（LIS），并能满足实验室工作需求，LIS能与HIS完好衔接，所有检测设备的室内质控数据能自动导入LIS中。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.规范开展室内质控，工作人员能掌握室内质控相关知识，互认项目能规范地开展室内质控活动，对失控项目能分析原因，并采取相应的纠正措施。实验室及信息科能配合相关部门，通过我省居民健康档案信息系统网络，使LIS中的室内质控数据能适时上传至省临检中心质量管理平台。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3.实验室应制定文件化程序，定期（按相关专业要求）对直接或间接影响检验结果的设备进行校准。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4.参加福建省临床检验中心组织的室间质量评价，并至少符合以下2个条件之一：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（1）省临床检验中心前一年的室间质评成绩合格；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（2）国家卫生健康委临床检验中心前一年的室间质评合格。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5.医疗机构内采用不同检测系统检测同一项目时应定期（每年至少2次）进行结果的比对，实验室应有比对程序及相应的SOP。使用不同参考区间的检测系统间不宜进行结果比对。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6.三级甲等医疗机构实验室应适时对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检验方法和程序的分析性能进行验证，有条件的其他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医疗机构实验室宜参照执行。</w:t>
      </w:r>
    </w:p>
    <w:p>
      <w:pPr>
        <w:numPr>
          <w:ilvl w:val="0"/>
          <w:numId w:val="1"/>
        </w:numPr>
        <w:adjustRightInd w:val="0"/>
        <w:snapToGrid w:val="0"/>
        <w:spacing w:line="590" w:lineRule="exact"/>
        <w:ind w:firstLine="643" w:firstLineChars="200"/>
        <w:rPr>
          <w:rFonts w:hint="eastAsia" w:ascii="楷体_GB2312" w:hAnsi="楷体" w:eastAsia="楷体_GB2312" w:cs="楷体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color w:val="000000"/>
          <w:sz w:val="32"/>
          <w:szCs w:val="32"/>
        </w:rPr>
        <w:t>互认项目（共7大类18小类73项）</w:t>
      </w:r>
    </w:p>
    <w:p>
      <w:pPr>
        <w:adjustRightInd w:val="0"/>
        <w:snapToGrid w:val="0"/>
        <w:spacing w:line="590" w:lineRule="exact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color w:val="00000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1.临床血液学</w:t>
      </w:r>
    </w:p>
    <w:p>
      <w:pPr>
        <w:adjustRightInd w:val="0"/>
        <w:snapToGrid w:val="0"/>
        <w:spacing w:line="590" w:lineRule="exact"/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 xml:space="preserve">    （1）</w:t>
      </w:r>
      <w:r>
        <w:rPr>
          <w:rStyle w:val="8"/>
          <w:rFonts w:hint="eastAsia" w:ascii="仿宋_GB2312" w:hAnsi="仿宋" w:eastAsia="仿宋_GB2312" w:cs="仿宋"/>
          <w:sz w:val="32"/>
          <w:szCs w:val="32"/>
        </w:rPr>
        <w:t>血液一般检验：</w:t>
      </w:r>
      <w:r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  <w:t>红细胞计数(RBC)、白细胞计数(WBC)、血小板计数(PLT)、血红蛋白量(Hgb)、血细胞比积(HCT)、红细胞平均体积(MCV)；</w:t>
      </w:r>
    </w:p>
    <w:p>
      <w:pPr>
        <w:adjustRightInd w:val="0"/>
        <w:snapToGrid w:val="0"/>
        <w:spacing w:line="590" w:lineRule="exact"/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  <w:t xml:space="preserve">    </w:t>
      </w:r>
      <w:r>
        <w:rPr>
          <w:rStyle w:val="8"/>
          <w:rFonts w:hint="eastAsia" w:ascii="仿宋_GB2312" w:hAnsi="仿宋" w:eastAsia="仿宋_GB2312" w:cs="仿宋"/>
          <w:sz w:val="32"/>
          <w:szCs w:val="32"/>
        </w:rPr>
        <w:t>（2）出凝血检验：</w:t>
      </w:r>
      <w:r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  <w:t>活化部分凝血活酶时间(APTT)、凝血酶原时间(PT)、纤维蛋白原(Fg)、凝血酶时间（TT）。</w:t>
      </w:r>
    </w:p>
    <w:p>
      <w:pPr>
        <w:adjustRightInd w:val="0"/>
        <w:snapToGrid w:val="0"/>
        <w:spacing w:line="590" w:lineRule="exact"/>
        <w:ind w:firstLine="642"/>
        <w:rPr>
          <w:rStyle w:val="8"/>
          <w:rFonts w:hint="eastAsia" w:ascii="仿宋_GB2312" w:hAnsi="仿宋" w:eastAsia="仿宋_GB2312" w:cs="仿宋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sz w:val="32"/>
          <w:szCs w:val="32"/>
        </w:rPr>
        <w:t>2.临床体液学</w:t>
      </w:r>
    </w:p>
    <w:p>
      <w:pPr>
        <w:adjustRightInd w:val="0"/>
        <w:snapToGrid w:val="0"/>
        <w:spacing w:line="590" w:lineRule="exact"/>
        <w:ind w:firstLine="642"/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sz w:val="32"/>
          <w:szCs w:val="32"/>
        </w:rPr>
        <w:t>尿液检查：</w:t>
      </w:r>
      <w:r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  <w:t>pH、比重( SG )、蛋白质(PRO)、葡萄糖(GLU)、酮体( KET)、胆红素(BIL)、尿胆原(URO)、亚硝酸盐(NIT)、白细胞酯酶(LEU)潜血（或）红细胞(BLD) 。</w:t>
      </w:r>
    </w:p>
    <w:p>
      <w:pPr>
        <w:numPr>
          <w:ilvl w:val="0"/>
          <w:numId w:val="2"/>
        </w:numPr>
        <w:adjustRightInd w:val="0"/>
        <w:snapToGrid w:val="0"/>
        <w:spacing w:line="590" w:lineRule="exact"/>
        <w:ind w:firstLine="642"/>
        <w:rPr>
          <w:rStyle w:val="8"/>
          <w:rFonts w:hint="eastAsia" w:ascii="仿宋_GB2312" w:hAnsi="仿宋" w:eastAsia="仿宋_GB2312" w:cs="仿宋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sz w:val="32"/>
          <w:szCs w:val="32"/>
        </w:rPr>
        <w:t>临床化学</w:t>
      </w:r>
    </w:p>
    <w:p>
      <w:pPr>
        <w:adjustRightInd w:val="0"/>
        <w:snapToGrid w:val="0"/>
        <w:spacing w:line="590" w:lineRule="exact"/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sz w:val="32"/>
          <w:szCs w:val="32"/>
        </w:rPr>
        <w:t xml:space="preserve">    (1)酶及其相关物质：</w:t>
      </w:r>
      <w:r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  <w:t>天冬氨酸氨基转移酶(AST) 、丙氨酸氨基转移酶( ALT)、乳酸脱氢酶(LDH)、碱性磷酸酶(ALP)、γ-谷氨酰转肽酶(GGT)、肌酸激酶(CK)、α-羟丁酸脱氢酶(α-HBDH)、淀粉酶(AMS)；</w:t>
      </w:r>
    </w:p>
    <w:p>
      <w:pPr>
        <w:adjustRightInd w:val="0"/>
        <w:snapToGrid w:val="0"/>
        <w:spacing w:line="590" w:lineRule="exact"/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  <w:t xml:space="preserve">    </w:t>
      </w:r>
      <w:r>
        <w:rPr>
          <w:rStyle w:val="8"/>
          <w:rFonts w:hint="eastAsia" w:ascii="仿宋_GB2312" w:hAnsi="仿宋" w:eastAsia="仿宋_GB2312" w:cs="仿宋"/>
          <w:sz w:val="32"/>
          <w:szCs w:val="32"/>
        </w:rPr>
        <w:t>（2）蛋白质和低分子含氮化合物：</w:t>
      </w:r>
      <w:r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  <w:t>总蛋白(TP)、白蛋白 (ALB)、尿酸(UA)、尿素(Urea)；</w:t>
      </w:r>
    </w:p>
    <w:p>
      <w:pPr>
        <w:numPr>
          <w:ilvl w:val="0"/>
          <w:numId w:val="3"/>
        </w:numPr>
        <w:adjustRightInd w:val="0"/>
        <w:snapToGrid w:val="0"/>
        <w:spacing w:line="590" w:lineRule="exact"/>
        <w:ind w:firstLine="642"/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sz w:val="32"/>
          <w:szCs w:val="32"/>
        </w:rPr>
        <w:t>碳水化合物及相关物质：</w:t>
      </w:r>
      <w:r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  <w:t>葡萄糖 (Glu) 、糖化血红蛋白A1c（HbA1c）；</w:t>
      </w:r>
    </w:p>
    <w:p>
      <w:pPr>
        <w:adjustRightInd w:val="0"/>
        <w:snapToGrid w:val="0"/>
        <w:spacing w:line="590" w:lineRule="exact"/>
        <w:ind w:firstLine="642"/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sz w:val="32"/>
          <w:szCs w:val="32"/>
        </w:rPr>
        <w:t>（4）脂质及其相关物质：</w:t>
      </w:r>
      <w:r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  <w:t xml:space="preserve">甘油三酯 (TG) 、总胆固醇 (TC) </w:t>
      </w:r>
    </w:p>
    <w:p>
      <w:pPr>
        <w:adjustRightInd w:val="0"/>
        <w:snapToGrid w:val="0"/>
        <w:spacing w:line="590" w:lineRule="exact"/>
        <w:ind w:firstLine="642"/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sz w:val="32"/>
          <w:szCs w:val="32"/>
        </w:rPr>
        <w:t>（5）电解质：</w:t>
      </w:r>
      <w:r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  <w:t>钠(Na)、钾(K)、氯(Cl)、钙(Ca)、磷(P)</w:t>
      </w:r>
    </w:p>
    <w:p>
      <w:pPr>
        <w:pStyle w:val="2"/>
        <w:tabs>
          <w:tab w:val="clear" w:pos="0"/>
        </w:tabs>
        <w:spacing w:line="590" w:lineRule="exact"/>
        <w:ind w:firstLine="642"/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sz w:val="32"/>
          <w:szCs w:val="32"/>
        </w:rPr>
        <w:t>（6）无机离子和微量元素:</w:t>
      </w:r>
      <w:r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  <w:t>铁(Fe);</w:t>
      </w:r>
    </w:p>
    <w:p>
      <w:pPr>
        <w:pStyle w:val="2"/>
        <w:tabs>
          <w:tab w:val="clear" w:pos="0"/>
        </w:tabs>
        <w:spacing w:line="590" w:lineRule="exact"/>
        <w:ind w:firstLine="642"/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b/>
          <w:sz w:val="32"/>
          <w:szCs w:val="32"/>
        </w:rPr>
        <w:t>（7）</w:t>
      </w:r>
      <w:r>
        <w:rPr>
          <w:rStyle w:val="8"/>
          <w:rFonts w:hint="eastAsia" w:ascii="仿宋_GB2312" w:hAnsi="仿宋" w:eastAsia="仿宋_GB2312" w:cs="仿宋"/>
          <w:sz w:val="32"/>
          <w:szCs w:val="32"/>
        </w:rPr>
        <w:t>下丘脑和垂体激素及相关物质:</w:t>
      </w:r>
      <w:r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  <w:t>卵泡刺激素（FSH）、促甲状腺刺激激（TSH）;</w:t>
      </w:r>
    </w:p>
    <w:p>
      <w:pPr>
        <w:pStyle w:val="2"/>
        <w:tabs>
          <w:tab w:val="clear" w:pos="0"/>
        </w:tabs>
        <w:spacing w:line="590" w:lineRule="exact"/>
        <w:ind w:firstLine="642"/>
        <w:rPr>
          <w:rStyle w:val="8"/>
          <w:rFonts w:hint="eastAsia" w:ascii="仿宋_GB2312" w:hAnsi="仿宋" w:eastAsia="仿宋_GB2312" w:cs="仿宋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b/>
          <w:sz w:val="32"/>
          <w:szCs w:val="32"/>
        </w:rPr>
        <w:t>（8）</w:t>
      </w:r>
      <w:r>
        <w:rPr>
          <w:rStyle w:val="8"/>
          <w:rFonts w:hint="eastAsia" w:ascii="仿宋_GB2312" w:hAnsi="仿宋" w:eastAsia="仿宋_GB2312" w:cs="仿宋"/>
          <w:sz w:val="32"/>
          <w:szCs w:val="32"/>
        </w:rPr>
        <w:t>甲状腺激素及其结合蛋白检查:</w:t>
      </w:r>
      <w:r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  <w:t>游离三碘甲状原氨酸（FT3、游离甲状腺素（FT4）、三碘甲状原氨酸（T3）、甲状腺素（T4）;</w:t>
      </w:r>
    </w:p>
    <w:p>
      <w:pPr>
        <w:pStyle w:val="2"/>
        <w:tabs>
          <w:tab w:val="clear" w:pos="0"/>
        </w:tabs>
        <w:spacing w:line="590" w:lineRule="exact"/>
        <w:ind w:firstLine="642"/>
        <w:rPr>
          <w:rStyle w:val="8"/>
          <w:rFonts w:hint="eastAsia" w:ascii="仿宋_GB2312" w:hAnsi="仿宋" w:eastAsia="仿宋_GB2312" w:cs="仿宋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sz w:val="32"/>
          <w:szCs w:val="32"/>
        </w:rPr>
        <w:t>（9）性腺激素及相关物质:</w:t>
      </w:r>
      <w:r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  <w:t>绒毛膜促性腺激素（HCG）、绒毛膜促性腺激素β（β-HCG）.</w:t>
      </w:r>
    </w:p>
    <w:p>
      <w:pPr>
        <w:pStyle w:val="2"/>
        <w:tabs>
          <w:tab w:val="clear" w:pos="0"/>
        </w:tabs>
        <w:spacing w:line="590" w:lineRule="exact"/>
        <w:rPr>
          <w:rStyle w:val="8"/>
          <w:rFonts w:hint="eastAsia" w:ascii="仿宋_GB2312" w:hAnsi="仿宋" w:eastAsia="仿宋_GB2312" w:cs="仿宋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  <w:t xml:space="preserve">    </w:t>
      </w:r>
      <w:r>
        <w:rPr>
          <w:rStyle w:val="8"/>
          <w:rFonts w:hint="eastAsia" w:ascii="仿宋_GB2312" w:hAnsi="仿宋" w:eastAsia="仿宋_GB2312" w:cs="仿宋"/>
          <w:b/>
          <w:sz w:val="32"/>
          <w:szCs w:val="32"/>
        </w:rPr>
        <w:t>4.</w:t>
      </w:r>
      <w:r>
        <w:rPr>
          <w:rStyle w:val="8"/>
          <w:rFonts w:hint="eastAsia" w:ascii="仿宋_GB2312" w:hAnsi="仿宋" w:eastAsia="仿宋_GB2312" w:cs="仿宋"/>
          <w:sz w:val="32"/>
          <w:szCs w:val="32"/>
        </w:rPr>
        <w:t>临床免疫学</w:t>
      </w:r>
    </w:p>
    <w:p>
      <w:pPr>
        <w:pStyle w:val="2"/>
        <w:tabs>
          <w:tab w:val="clear" w:pos="0"/>
        </w:tabs>
        <w:spacing w:line="590" w:lineRule="exact"/>
        <w:ind w:firstLine="640"/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sz w:val="32"/>
          <w:szCs w:val="32"/>
        </w:rPr>
        <w:t>(1)补体/免疫球蛋白/相关蛋白:</w:t>
      </w:r>
      <w:r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  <w:t>补体3（C3）、补体4（C4）、免疫球蛋白G （IgG）、免疫球蛋白M （IgM）、免疫球蛋白A （IgA）;</w:t>
      </w:r>
    </w:p>
    <w:p>
      <w:pPr>
        <w:pStyle w:val="2"/>
        <w:tabs>
          <w:tab w:val="clear" w:pos="0"/>
        </w:tabs>
        <w:spacing w:line="590" w:lineRule="exact"/>
        <w:ind w:firstLine="640"/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sz w:val="32"/>
          <w:szCs w:val="32"/>
        </w:rPr>
        <w:t>(2)肝炎病毒/人类免疫缺陷病毒 /梅毒螺旋体标志物:</w:t>
      </w:r>
      <w:r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  <w:t>抗丙型肝炎病毒抗体（HCV-Ab）、乙型肝炎病毒表面抗原 （HBsAg）、抗乙型肝炎病毒表面抗体（HBsAb）、乙型肝炎病毒e抗原 （HBeAg）、抗乙型肝炎病毒e抗体（HBeAb）、抗乙型肝炎病毒核心抗体（HBcAb）、抗人免疫缺陷病毒抗体（HIV-Ab）、抗梅毒螺旋体抗体;</w:t>
      </w:r>
    </w:p>
    <w:p>
      <w:pPr>
        <w:pStyle w:val="2"/>
        <w:tabs>
          <w:tab w:val="clear" w:pos="0"/>
        </w:tabs>
        <w:spacing w:line="590" w:lineRule="exact"/>
        <w:ind w:firstLine="640"/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sz w:val="32"/>
          <w:szCs w:val="32"/>
        </w:rPr>
        <w:t>(3)肿瘤标志物:</w:t>
      </w:r>
      <w:r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  <w:t>癌胚抗原(CEA)、甲胎蛋白(AFP)、总前列腺特异性抗原（tPSA）、游离前列腺特异性抗原（fPSA）。</w:t>
      </w:r>
    </w:p>
    <w:p>
      <w:pPr>
        <w:pStyle w:val="2"/>
        <w:tabs>
          <w:tab w:val="clear" w:pos="0"/>
        </w:tabs>
        <w:spacing w:line="590" w:lineRule="exact"/>
        <w:ind w:firstLine="640"/>
        <w:rPr>
          <w:rStyle w:val="8"/>
          <w:rFonts w:hint="eastAsia" w:ascii="仿宋_GB2312" w:hAnsi="仿宋" w:eastAsia="仿宋_GB2312" w:cs="仿宋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sz w:val="32"/>
          <w:szCs w:val="32"/>
        </w:rPr>
        <w:t>5.临床微生物学</w:t>
      </w:r>
    </w:p>
    <w:p>
      <w:pPr>
        <w:pStyle w:val="2"/>
        <w:tabs>
          <w:tab w:val="clear" w:pos="0"/>
        </w:tabs>
        <w:spacing w:line="590" w:lineRule="exact"/>
        <w:ind w:firstLine="640"/>
        <w:rPr>
          <w:rStyle w:val="8"/>
          <w:rFonts w:hint="eastAsia" w:ascii="仿宋_GB2312" w:hAnsi="仿宋" w:eastAsia="仿宋_GB2312" w:cs="仿宋"/>
          <w:b w:val="0"/>
          <w:bCs w:val="0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b w:val="0"/>
          <w:bCs/>
          <w:sz w:val="32"/>
          <w:szCs w:val="32"/>
        </w:rPr>
        <w:t>细菌培养+鉴定、药敏试验。</w:t>
      </w:r>
    </w:p>
    <w:p>
      <w:pPr>
        <w:pStyle w:val="2"/>
        <w:numPr>
          <w:ilvl w:val="0"/>
          <w:numId w:val="4"/>
        </w:numPr>
        <w:tabs>
          <w:tab w:val="clear" w:pos="0"/>
        </w:tabs>
        <w:spacing w:line="590" w:lineRule="exact"/>
        <w:ind w:firstLine="640"/>
        <w:rPr>
          <w:rStyle w:val="8"/>
          <w:rFonts w:hint="eastAsia" w:ascii="仿宋_GB2312" w:hAnsi="仿宋" w:eastAsia="仿宋_GB2312" w:cs="仿宋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sz w:val="32"/>
          <w:szCs w:val="32"/>
        </w:rPr>
        <w:t>红细胞血型</w:t>
      </w:r>
    </w:p>
    <w:p>
      <w:pPr>
        <w:pStyle w:val="2"/>
        <w:tabs>
          <w:tab w:val="clear" w:pos="0"/>
        </w:tabs>
        <w:spacing w:line="59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  <w:t xml:space="preserve">    ABO血型正定型、RhD血型（RhD抗原）、ABO血型反定型。</w:t>
      </w:r>
    </w:p>
    <w:p>
      <w:pPr>
        <w:pStyle w:val="2"/>
        <w:tabs>
          <w:tab w:val="clear" w:pos="0"/>
        </w:tabs>
        <w:spacing w:line="590" w:lineRule="exact"/>
        <w:rPr>
          <w:rStyle w:val="8"/>
          <w:rFonts w:hint="eastAsia" w:ascii="仿宋_GB2312" w:hAnsi="仿宋" w:eastAsia="仿宋_GB2312" w:cs="仿宋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sz w:val="32"/>
          <w:szCs w:val="32"/>
        </w:rPr>
        <w:t xml:space="preserve">    7.分子诊断</w:t>
      </w:r>
    </w:p>
    <w:p>
      <w:pPr>
        <w:pStyle w:val="2"/>
        <w:tabs>
          <w:tab w:val="clear" w:pos="0"/>
        </w:tabs>
        <w:spacing w:line="59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Style w:val="8"/>
          <w:rFonts w:hint="eastAsia" w:ascii="仿宋_GB2312" w:hAnsi="仿宋" w:eastAsia="仿宋_GB2312" w:cs="仿宋"/>
          <w:b w:val="0"/>
          <w:sz w:val="32"/>
          <w:szCs w:val="32"/>
        </w:rPr>
        <w:t xml:space="preserve">    乙型肝炎病毒脱氧核糖核酸（HBV DNA）。</w:t>
      </w:r>
      <w:bookmarkEnd w:id="0"/>
      <w:bookmarkEnd w:id="1"/>
    </w:p>
    <w:p>
      <w:bookmarkStart w:id="2" w:name="_GoBack"/>
      <w:bookmarkEnd w:id="2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474" w:bottom="1701" w:left="1588" w:header="851" w:footer="1588" w:gutter="0"/>
      <w:pgNumType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right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80B3"/>
    <w:multiLevelType w:val="singleLevel"/>
    <w:tmpl w:val="60B580B3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60B58584"/>
    <w:multiLevelType w:val="singleLevel"/>
    <w:tmpl w:val="60B58584"/>
    <w:lvl w:ilvl="0" w:tentative="0">
      <w:start w:val="6"/>
      <w:numFmt w:val="decimal"/>
      <w:suff w:val="nothing"/>
      <w:lvlText w:val="%1."/>
      <w:lvlJc w:val="left"/>
    </w:lvl>
  </w:abstractNum>
  <w:abstractNum w:abstractNumId="2">
    <w:nsid w:val="610755FA"/>
    <w:multiLevelType w:val="singleLevel"/>
    <w:tmpl w:val="610755FA"/>
    <w:lvl w:ilvl="0" w:tentative="0">
      <w:start w:val="3"/>
      <w:numFmt w:val="decimal"/>
      <w:suff w:val="nothing"/>
      <w:lvlText w:val="%1."/>
      <w:lvlJc w:val="left"/>
    </w:lvl>
  </w:abstractNum>
  <w:abstractNum w:abstractNumId="3">
    <w:nsid w:val="61075624"/>
    <w:multiLevelType w:val="singleLevel"/>
    <w:tmpl w:val="61075624"/>
    <w:lvl w:ilvl="0" w:tentative="0">
      <w:start w:val="3"/>
      <w:numFmt w:val="decimal"/>
      <w:suff w:val="nothing"/>
      <w:lvlText w:val="（%1）"/>
      <w:lvlJc w:val="left"/>
      <w:rPr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4D77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tabs>
        <w:tab w:val="left" w:pos="0"/>
      </w:tabs>
      <w:spacing w:line="360" w:lineRule="exact"/>
      <w:outlineLvl w:val="0"/>
    </w:pPr>
    <w:rPr>
      <w:rFonts w:ascii="宋体" w:hAnsi="宋体" w:cs="宋体"/>
      <w:kern w:val="44"/>
      <w:sz w:val="24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16"/>
    <w:qFormat/>
    <w:uiPriority w:val="99"/>
    <w:rPr>
      <w:rFonts w:ascii="Calibri" w:hAnsi="Calibri" w:cs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2021-08-12T00:52:05Z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361B582F4CB94C7897DE1D9EA57C601A</vt:lpwstr>
  </property>
</Properties>
</file>