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eastAsia="方正黑体简体"/>
          <w:kern w:val="0"/>
          <w:sz w:val="32"/>
          <w:szCs w:val="32"/>
        </w:rPr>
      </w:pPr>
      <w:r>
        <w:rPr>
          <w:rFonts w:hint="eastAsia" w:eastAsia="方正黑体简体"/>
          <w:kern w:val="0"/>
          <w:sz w:val="32"/>
          <w:szCs w:val="32"/>
        </w:rPr>
        <w:t>附件2</w:t>
      </w:r>
    </w:p>
    <w:p>
      <w:pPr>
        <w:adjustRightInd w:val="0"/>
        <w:snapToGrid w:val="0"/>
        <w:rPr>
          <w:rFonts w:hint="eastAsia" w:eastAsia="方正仿宋简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各地各单位推荐申报限额</w:t>
      </w:r>
    </w:p>
    <w:p>
      <w:pPr>
        <w:adjustRightInd w:val="0"/>
        <w:snapToGrid w:val="0"/>
        <w:rPr>
          <w:rFonts w:hint="eastAsia" w:eastAsia="方正仿宋简体"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5527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仿宋_GB2312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仿宋_GB2312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仿宋_GB2312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32"/>
                <w:szCs w:val="32"/>
              </w:rPr>
              <w:t>推荐申报数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各设区市卫健委（除厦门外）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各5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厦门市卫健委（资金自筹）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平潭综合实验区社会事业局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福建省立医院（含省立金山医院）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福建医科大学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福建医大附属协和医院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2" w:leftChars="-2" w:hanging="6" w:hangingChars="2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福建医大附属第一医院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福建医大附属第二医院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福建医大附属口腔医院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福建省肿瘤医院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福建省妇幼保健院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福建中医药大学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福建中医药大学附属人民医院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福建中医药大学附属第二人民医院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福建中医药大学附属第三人民医院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福建中医药大学附属康复医院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福建省疾病预防控制中心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福建省医学科学研究院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福建卫生职业技术学院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福建省中医药科学院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5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其余委直属及省属单位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各2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46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2021-07-28T08:33:39Z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DD8922B9E1F5428D97D479972DA9C80B</vt:lpwstr>
  </property>
</Properties>
</file>