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ind w:right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ind w:right="48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无偿献血促进奖获奖名单</w:t>
      </w:r>
    </w:p>
    <w:p>
      <w:pPr>
        <w:pStyle w:val="6"/>
        <w:widowControl/>
        <w:spacing w:line="580" w:lineRule="exact"/>
        <w:jc w:val="center"/>
        <w:rPr>
          <w:rFonts w:ascii="Times New Roman" w:hAnsi="Times New Roman" w:eastAsia="楷体_GB2312" w:cs="Arial Unicode MS"/>
          <w:kern w:val="0"/>
          <w:sz w:val="32"/>
          <w:szCs w:val="32"/>
        </w:rPr>
      </w:pPr>
      <w:r>
        <w:rPr>
          <w:rFonts w:hint="eastAsia" w:ascii="Times New Roman" w:hAnsi="楷体_GB2312" w:eastAsia="楷体_GB2312" w:cs="楷体_GB2312"/>
          <w:sz w:val="32"/>
          <w:szCs w:val="32"/>
        </w:rPr>
        <w:t>单位奖（</w:t>
      </w:r>
      <w:r>
        <w:rPr>
          <w:rFonts w:ascii="Times New Roman" w:hAnsi="Times New Roman" w:eastAsia="楷体_GB2312" w:cs="Times New Roman"/>
          <w:sz w:val="32"/>
          <w:szCs w:val="32"/>
        </w:rPr>
        <w:t>12</w:t>
      </w:r>
      <w:r>
        <w:rPr>
          <w:rFonts w:hint="eastAsia" w:ascii="Times New Roman" w:hAnsi="楷体_GB2312" w:eastAsia="楷体_GB2312" w:cs="楷体_GB2312"/>
          <w:sz w:val="32"/>
          <w:szCs w:val="32"/>
        </w:rPr>
        <w:t>个）</w:t>
      </w:r>
    </w:p>
    <w:p>
      <w:pPr>
        <w:pStyle w:val="6"/>
        <w:widowControl/>
        <w:spacing w:line="580" w:lineRule="exact"/>
        <w:jc w:val="center"/>
        <w:rPr>
          <w:rFonts w:ascii="Times New Roman" w:hAnsi="Times New Roman" w:eastAsia="宋体" w:cs="Arial Unicode MS"/>
          <w:b/>
          <w:bCs/>
          <w:kern w:val="0"/>
          <w:sz w:val="32"/>
          <w:szCs w:val="32"/>
        </w:rPr>
      </w:pPr>
    </w:p>
    <w:tbl>
      <w:tblPr>
        <w:tblStyle w:val="3"/>
        <w:tblW w:w="8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7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三明市中心血站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南平市公安局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湄洲湾职业技术学院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漳州卫生职业学院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福建中医药大学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泉州信息工程学院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宁德师范学院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福建林业职业技术学院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厦门医学院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厦门理工学院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闽西职业技术学院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418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中共福州市委市直机关工作委员会</w:t>
            </w:r>
          </w:p>
        </w:tc>
      </w:tr>
    </w:tbl>
    <w:p>
      <w:pPr>
        <w:ind w:right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ind w:right="480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ind w:right="480"/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ind w:right="480"/>
        <w:jc w:val="center"/>
        <w:rPr>
          <w:rFonts w:ascii="Times New Roman" w:hAnsi="Times New Roman" w:eastAsia="楷体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4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ascii="Times New Roman" w:hAnsi="楷体_GB2312" w:eastAsia="楷体_GB2312" w:cs="Times New Roman"/>
          <w:sz w:val="32"/>
          <w:szCs w:val="32"/>
        </w:rPr>
      </w:pPr>
    </w:p>
    <w:p>
      <w:pPr>
        <w:ind w:right="480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楷体_GB2312" w:eastAsia="楷体_GB2312" w:cs="楷体_GB2312"/>
          <w:sz w:val="32"/>
          <w:szCs w:val="32"/>
        </w:rPr>
        <w:t>个人奖</w:t>
      </w:r>
      <w:r>
        <w:rPr>
          <w:rFonts w:ascii="Times New Roman" w:hAnsi="Times New Roman" w:eastAsia="楷体_GB2312" w:cs="Times New Roman"/>
          <w:sz w:val="32"/>
          <w:szCs w:val="32"/>
        </w:rPr>
        <w:t>(5</w:t>
      </w:r>
      <w:r>
        <w:rPr>
          <w:rFonts w:hint="eastAsia" w:ascii="Times New Roman" w:hAnsi="楷体_GB2312" w:eastAsia="楷体_GB2312" w:cs="楷体_GB2312"/>
          <w:sz w:val="32"/>
          <w:szCs w:val="32"/>
        </w:rPr>
        <w:t>个）</w:t>
      </w:r>
    </w:p>
    <w:p>
      <w:pPr>
        <w:ind w:right="48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86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631"/>
        <w:gridCol w:w="61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李毅超</w:t>
            </w:r>
          </w:p>
        </w:tc>
        <w:tc>
          <w:tcPr>
            <w:tcW w:w="618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福建工程学院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榛</w:t>
            </w:r>
          </w:p>
        </w:tc>
        <w:tc>
          <w:tcPr>
            <w:tcW w:w="618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厦门海洋职业技术学院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陈海峰</w:t>
            </w:r>
          </w:p>
        </w:tc>
        <w:tc>
          <w:tcPr>
            <w:tcW w:w="618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sz w:val="32"/>
                <w:szCs w:val="32"/>
              </w:rPr>
              <w:t>莆田市仙游县无偿献血志愿服务队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陈国明</w:t>
            </w:r>
          </w:p>
        </w:tc>
        <w:tc>
          <w:tcPr>
            <w:tcW w:w="618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平和县税务局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旋</w:t>
            </w:r>
          </w:p>
        </w:tc>
        <w:tc>
          <w:tcPr>
            <w:tcW w:w="618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南平市青少年宫</w:t>
            </w:r>
          </w:p>
        </w:tc>
      </w:tr>
    </w:tbl>
    <w:p>
      <w:pPr>
        <w:ind w:right="4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ind w:right="480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楷体_GB2312" w:eastAsia="楷体_GB2312" w:cs="楷体_GB2312"/>
          <w:sz w:val="32"/>
          <w:szCs w:val="32"/>
        </w:rPr>
        <w:t>特别奖（</w:t>
      </w:r>
      <w:r>
        <w:rPr>
          <w:rFonts w:ascii="Times New Roman" w:hAnsi="Times New Roman" w:eastAsia="楷体_GB2312" w:cs="Times New Roman"/>
          <w:sz w:val="32"/>
          <w:szCs w:val="32"/>
        </w:rPr>
        <w:t>4</w:t>
      </w:r>
      <w:r>
        <w:rPr>
          <w:rFonts w:hint="eastAsia" w:ascii="Times New Roman" w:hAnsi="楷体_GB2312" w:eastAsia="楷体_GB2312" w:cs="楷体_GB2312"/>
          <w:sz w:val="32"/>
          <w:szCs w:val="32"/>
        </w:rPr>
        <w:t>个）</w:t>
      </w:r>
    </w:p>
    <w:p>
      <w:pPr>
        <w:pStyle w:val="6"/>
        <w:widowControl/>
        <w:spacing w:line="580" w:lineRule="exact"/>
        <w:jc w:val="center"/>
        <w:rPr>
          <w:rFonts w:ascii="Times New Roman" w:hAnsi="Times New Roman" w:eastAsia="宋体" w:cs="Arial Unicode MS"/>
          <w:b/>
          <w:bCs/>
          <w:kern w:val="0"/>
          <w:sz w:val="32"/>
          <w:szCs w:val="32"/>
        </w:rPr>
      </w:pPr>
    </w:p>
    <w:tbl>
      <w:tblPr>
        <w:tblStyle w:val="3"/>
        <w:tblW w:w="847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663"/>
        <w:gridCol w:w="61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福建船政交通职业学院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厦门群鑫机械工业有限公司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漳州市凯盛环境工程有限公司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陈晓美</w:t>
            </w:r>
          </w:p>
        </w:tc>
        <w:tc>
          <w:tcPr>
            <w:tcW w:w="6139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32"/>
                <w:szCs w:val="32"/>
              </w:rPr>
              <w:t>福建省教育厅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780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797" w:bottom="1440" w:left="1797" w:header="851" w:footer="992" w:gutter="0"/>
      <w:pgNumType w:start="14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604" w:wrap="around" w:vAnchor="text" w:hAnchor="margin" w:xAlign="outside" w:y="1"/>
      <w:ind w:right="458" w:rightChars="218"/>
      <w:jc w:val="both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Style w:val="5"/>
        <w:rFonts w:hint="eastAsia" w:ascii="Times New Roman" w:hAnsi="Times New Roman" w:cs="Times New Roman"/>
        <w:sz w:val="28"/>
        <w:szCs w:val="28"/>
      </w:rPr>
      <w:t>48</w:t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  <w:p>
    <w:pPr>
      <w:pStyle w:val="2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3604" w:wrap="around" w:vAnchor="text" w:hAnchor="margin" w:xAlign="outside" w:y="1"/>
      <w:ind w:right="458" w:rightChars="218"/>
      <w:jc w:val="right"/>
      <w:rPr>
        <w:rStyle w:val="5"/>
        <w:rFonts w:ascii="Times New Roman" w:hAnsi="Times New Roman" w:cs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Style w:val="5"/>
        <w:rFonts w:hint="eastAsia" w:ascii="Times New Roman" w:hAnsi="Times New Roman" w:cs="Times New Roman"/>
        <w:sz w:val="28"/>
        <w:szCs w:val="28"/>
      </w:rPr>
      <w:t>49</w:t>
    </w:r>
    <w:r>
      <w:rPr>
        <w:rStyle w:val="5"/>
        <w:rFonts w:ascii="Times New Roman" w:hAnsi="Times New Roman" w:cs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F36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  <w:style w:type="paragraph" w:customStyle="1" w:styleId="6">
    <w:name w:val="正文 A"/>
    <w:uiPriority w:val="99"/>
    <w:pPr>
      <w:widowControl w:val="0"/>
      <w:jc w:val="both"/>
    </w:pPr>
    <w:rPr>
      <w:rFonts w:ascii="Arial Unicode MS" w:hAnsi="Calibri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2021-01-04T03:29:02Z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