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both"/>
        <w:rPr>
          <w:rFonts w:hint="eastAsia" w:ascii="Times New Roman" w:hAnsi="Times New Roman" w:eastAsia="黑体"/>
          <w:sz w:val="32"/>
          <w:szCs w:val="24"/>
        </w:rPr>
      </w:pPr>
      <w:r>
        <w:rPr>
          <w:rFonts w:hint="eastAsia" w:ascii="Times New Roman" w:hAnsi="Times New Roman" w:eastAsia="黑体"/>
          <w:sz w:val="32"/>
          <w:szCs w:val="24"/>
        </w:rPr>
        <w:t>附件</w:t>
      </w:r>
    </w:p>
    <w:p>
      <w:pPr>
        <w:adjustRightInd w:val="0"/>
        <w:snapToGrid w:val="0"/>
        <w:spacing w:line="590" w:lineRule="exact"/>
        <w:jc w:val="both"/>
        <w:rPr>
          <w:rFonts w:hint="eastAsia" w:ascii="Times New Roman" w:hAnsi="Times New Roman" w:eastAsia="仿宋_GB2312"/>
          <w:sz w:val="32"/>
          <w:szCs w:val="24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福建考务系统公共科目考试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操作说明</w:t>
      </w:r>
    </w:p>
    <w:p>
      <w:pPr>
        <w:adjustRightInd w:val="0"/>
        <w:snapToGrid w:val="0"/>
        <w:spacing w:line="590" w:lineRule="exact"/>
        <w:jc w:val="both"/>
        <w:rPr>
          <w:rFonts w:ascii="Times New Roman" w:hAnsi="Times New Roman" w:eastAsia="仿宋_GB2312"/>
          <w:sz w:val="32"/>
          <w:szCs w:val="24"/>
        </w:rPr>
      </w:pPr>
    </w:p>
    <w:p>
      <w:pPr>
        <w:adjustRightInd w:val="0"/>
        <w:snapToGrid w:val="0"/>
        <w:spacing w:line="590" w:lineRule="exact"/>
        <w:jc w:val="both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平台地址：</w:t>
      </w:r>
      <w:r>
        <w:rPr>
          <w:rFonts w:ascii="Times New Roman" w:hAnsi="Times New Roman" w:eastAsia="仿宋_GB2312"/>
          <w:sz w:val="32"/>
          <w:szCs w:val="24"/>
        </w:rPr>
        <w:fldChar w:fldCharType="begin"/>
      </w:r>
      <w:r>
        <w:rPr>
          <w:rFonts w:ascii="Times New Roman" w:hAnsi="Times New Roman" w:eastAsia="仿宋_GB2312"/>
          <w:sz w:val="32"/>
          <w:szCs w:val="24"/>
        </w:rPr>
        <w:instrText xml:space="preserve">HYPERLINK "http://mvw-fujian-tcm.oss-cn-beijing.aliyuncs.com/index_FJ_ui/index.html"</w:instrText>
      </w:r>
      <w:r>
        <w:rPr>
          <w:rFonts w:ascii="Times New Roman" w:hAnsi="Times New Roman" w:eastAsia="仿宋_GB2312"/>
          <w:sz w:val="32"/>
          <w:szCs w:val="24"/>
        </w:rPr>
        <w:fldChar w:fldCharType="separate"/>
      </w:r>
      <w:r>
        <w:rPr>
          <w:rStyle w:val="4"/>
          <w:rFonts w:ascii="Times New Roman" w:hAnsi="Times New Roman" w:eastAsia="仿宋_GB2312"/>
          <w:sz w:val="32"/>
          <w:szCs w:val="24"/>
        </w:rPr>
        <w:t>http://mvw-fujian-tcm.oss-cn-beijing.aliyuncs.com/index_FJ_ui/index.html</w:t>
      </w:r>
      <w:r>
        <w:rPr>
          <w:rFonts w:ascii="Times New Roman" w:hAnsi="Times New Roman" w:eastAsia="仿宋_GB2312"/>
          <w:sz w:val="32"/>
          <w:szCs w:val="24"/>
        </w:rPr>
        <w:fldChar w:fldCharType="end"/>
      </w:r>
    </w:p>
    <w:p>
      <w:pPr>
        <w:adjustRightInd w:val="0"/>
        <w:snapToGrid w:val="0"/>
        <w:spacing w:line="590" w:lineRule="exact"/>
        <w:jc w:val="both"/>
        <w:rPr>
          <w:rFonts w:ascii="Times New Roman" w:hAnsi="Times New Roman" w:eastAsia="仿宋_GB2312"/>
          <w:sz w:val="32"/>
          <w:szCs w:val="24"/>
        </w:rPr>
      </w:pPr>
    </w:p>
    <w:p>
      <w:pPr>
        <w:numPr>
          <w:numId w:val="0"/>
        </w:numPr>
        <w:adjustRightInd w:val="0"/>
        <w:snapToGrid w:val="0"/>
        <w:spacing w:line="590" w:lineRule="exact"/>
        <w:ind w:leftChars="0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1. 首页</w:t>
      </w:r>
    </w:p>
    <w:p>
      <w:pPr>
        <w:adjustRightInd w:val="0"/>
        <w:snapToGrid w:val="0"/>
        <w:spacing w:line="590" w:lineRule="exact"/>
        <w:ind w:left="420" w:firstLine="640" w:firstLineChars="200"/>
        <w:jc w:val="left"/>
        <w:rPr>
          <w:rFonts w:hint="eastAsia"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规培中心和培训基地登录系统首页，选择“考核管理”进入考务系统公共科目相关页面。如图：</w:t>
      </w:r>
    </w:p>
    <w:p>
      <w:pPr>
        <w:adjustRightInd w:val="0"/>
        <w:snapToGrid w:val="0"/>
        <w:spacing w:line="590" w:lineRule="exact"/>
        <w:ind w:left="420" w:firstLine="640" w:firstLineChars="200"/>
        <w:jc w:val="left"/>
        <w:rPr>
          <w:rFonts w:ascii="Times New Roman" w:hAnsi="Times New Roman" w:eastAsia="仿宋_GB2312"/>
          <w:sz w:val="32"/>
          <w:szCs w:val="24"/>
        </w:rPr>
      </w:pPr>
    </w:p>
    <w:p>
      <w:pPr>
        <w:pStyle w:val="8"/>
        <w:ind w:left="360" w:firstLine="0" w:firstLineChars="0"/>
        <w:jc w:val="left"/>
        <w:rPr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68580</wp:posOffset>
            </wp:positionV>
            <wp:extent cx="5175885" cy="2656840"/>
            <wp:effectExtent l="0" t="0" r="5715" b="10160"/>
            <wp:wrapSquare wrapText="bothSides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numId w:val="0"/>
        </w:numPr>
        <w:adjustRightInd w:val="0"/>
        <w:snapToGrid w:val="0"/>
        <w:spacing w:line="590" w:lineRule="exact"/>
        <w:ind w:leftChars="0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2. 规培中心角色：</w:t>
      </w:r>
    </w:p>
    <w:p>
      <w:pPr>
        <w:adjustRightInd w:val="0"/>
        <w:snapToGrid w:val="0"/>
        <w:spacing w:line="590" w:lineRule="exact"/>
        <w:ind w:left="840" w:firstLine="640" w:firstLineChars="200"/>
        <w:jc w:val="left"/>
        <w:rPr>
          <w:rFonts w:hint="eastAsia"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进入考务系统公共科目页面，可设置公共科目考试的各阶段时间需求，如图：</w:t>
      </w:r>
    </w:p>
    <w:p>
      <w:pPr>
        <w:adjustRightInd w:val="0"/>
        <w:snapToGrid w:val="0"/>
        <w:spacing w:line="590" w:lineRule="exact"/>
        <w:ind w:left="840" w:firstLine="640" w:firstLineChars="200"/>
        <w:jc w:val="left"/>
        <w:rPr>
          <w:rFonts w:ascii="Times New Roman" w:hAnsi="Times New Roman" w:eastAsia="仿宋_GB2312"/>
          <w:sz w:val="32"/>
          <w:szCs w:val="24"/>
        </w:rPr>
      </w:pPr>
    </w:p>
    <w:p>
      <w:pPr>
        <w:pStyle w:val="8"/>
        <w:ind w:left="0" w:firstLine="0" w:firstLineChars="0"/>
        <w:jc w:val="center"/>
        <w:rPr>
          <w:sz w:val="28"/>
          <w:szCs w:val="28"/>
        </w:rPr>
      </w:pPr>
      <w:r>
        <w:rPr>
          <w:rFonts w:hint="eastAsia"/>
        </w:rPr>
        <w:drawing>
          <wp:inline distT="0" distB="0" distL="114300" distR="114300">
            <wp:extent cx="5250815" cy="2700655"/>
            <wp:effectExtent l="0" t="0" r="6985" b="444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90" w:lineRule="exact"/>
        <w:ind w:left="0" w:firstLine="640" w:firstLineChars="200"/>
        <w:jc w:val="both"/>
        <w:rPr>
          <w:rFonts w:hint="eastAsia" w:ascii="Times New Roman" w:hAnsi="Times New Roman" w:eastAsia="仿宋_GB2312"/>
          <w:sz w:val="32"/>
          <w:szCs w:val="24"/>
        </w:rPr>
      </w:pPr>
    </w:p>
    <w:p>
      <w:pPr>
        <w:adjustRightInd w:val="0"/>
        <w:snapToGrid w:val="0"/>
        <w:spacing w:line="590" w:lineRule="exact"/>
        <w:ind w:left="0" w:firstLine="640" w:firstLineChars="200"/>
        <w:jc w:val="both"/>
        <w:rPr>
          <w:rFonts w:hint="eastAsia"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设置时间后发布公共科目考试，点击【发布】操作，学员可在发布的时间内进行考试报名，如图：</w:t>
      </w:r>
    </w:p>
    <w:p>
      <w:pPr>
        <w:adjustRightInd w:val="0"/>
        <w:snapToGrid w:val="0"/>
        <w:spacing w:line="590" w:lineRule="exact"/>
        <w:ind w:left="0" w:firstLine="640" w:firstLineChars="200"/>
        <w:jc w:val="both"/>
        <w:rPr>
          <w:rFonts w:ascii="Times New Roman" w:hAnsi="Times New Roman" w:eastAsia="仿宋_GB2312"/>
          <w:sz w:val="32"/>
          <w:szCs w:val="24"/>
        </w:rPr>
      </w:pPr>
    </w:p>
    <w:p>
      <w:pPr>
        <w:pStyle w:val="8"/>
        <w:ind w:left="0" w:firstLine="0" w:firstLineChars="0"/>
        <w:jc w:val="center"/>
        <w:rPr>
          <w:sz w:val="28"/>
          <w:szCs w:val="28"/>
        </w:rPr>
      </w:pPr>
      <w:r>
        <w:rPr>
          <w:rFonts w:hint="eastAsia"/>
        </w:rPr>
        <w:drawing>
          <wp:inline distT="0" distB="0" distL="114300" distR="114300">
            <wp:extent cx="5212080" cy="2704465"/>
            <wp:effectExtent l="0" t="0" r="7620" b="63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840" w:firstLine="0" w:firstLineChars="0"/>
        <w:jc w:val="left"/>
        <w:rPr>
          <w:sz w:val="28"/>
          <w:szCs w:val="28"/>
        </w:rPr>
      </w:pPr>
    </w:p>
    <w:p>
      <w:pPr>
        <w:numPr>
          <w:numId w:val="0"/>
        </w:numPr>
        <w:adjustRightInd w:val="0"/>
        <w:snapToGrid w:val="0"/>
        <w:spacing w:line="590" w:lineRule="exact"/>
        <w:ind w:leftChars="0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3. 学员角色：</w:t>
      </w:r>
    </w:p>
    <w:p>
      <w:pPr>
        <w:adjustRightInd w:val="0"/>
        <w:snapToGrid w:val="0"/>
        <w:spacing w:line="59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学员在登录系统后，点击【考试报名】菜单，进入公共科目考试报名页面，填写报名信息进行报名操作，如图：</w:t>
      </w:r>
    </w:p>
    <w:p>
      <w:pPr>
        <w:adjustRightInd w:val="0"/>
        <w:snapToGrid w:val="0"/>
        <w:spacing w:line="59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24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41925" cy="2687320"/>
            <wp:effectExtent l="0" t="0" r="15875" b="1778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1925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</w:rPr>
        <w:drawing>
          <wp:inline distT="0" distB="0" distL="114300" distR="114300">
            <wp:extent cx="5201285" cy="2682240"/>
            <wp:effectExtent l="0" t="0" r="1841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9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24"/>
        </w:rPr>
      </w:pPr>
    </w:p>
    <w:p>
      <w:pPr>
        <w:numPr>
          <w:numId w:val="0"/>
        </w:numPr>
        <w:adjustRightInd w:val="0"/>
        <w:snapToGrid w:val="0"/>
        <w:spacing w:line="590" w:lineRule="exact"/>
        <w:ind w:leftChars="0"/>
        <w:jc w:val="left"/>
        <w:rPr>
          <w:rFonts w:ascii="Times New Roman" w:hAnsi="Times New Roman" w:eastAsia="仿宋_GB2312"/>
          <w:sz w:val="32"/>
          <w:szCs w:val="24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24"/>
        </w:rPr>
        <w:t>4. 培训基地角色：</w:t>
      </w:r>
    </w:p>
    <w:p>
      <w:pPr>
        <w:adjustRightInd w:val="0"/>
        <w:snapToGrid w:val="0"/>
        <w:spacing w:line="590" w:lineRule="exact"/>
        <w:ind w:left="360" w:firstLine="640" w:firstLineChars="200"/>
        <w:jc w:val="left"/>
        <w:rPr>
          <w:rFonts w:hint="eastAsia"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培训基地登录系统，可根据需要审核的报名信息进行审核操作，审核操作支持批量审核功能及数据导出功能。如图：</w:t>
      </w:r>
    </w:p>
    <w:p>
      <w:pPr>
        <w:adjustRightInd w:val="0"/>
        <w:snapToGrid w:val="0"/>
        <w:spacing w:line="590" w:lineRule="exact"/>
        <w:ind w:left="360" w:firstLine="640" w:firstLineChars="200"/>
        <w:jc w:val="left"/>
        <w:rPr>
          <w:rFonts w:ascii="Times New Roman" w:hAnsi="Times New Roman" w:eastAsia="仿宋_GB2312"/>
          <w:sz w:val="32"/>
          <w:szCs w:val="24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</w:rPr>
        <w:drawing>
          <wp:inline distT="0" distB="0" distL="114300" distR="114300">
            <wp:extent cx="5175885" cy="2540000"/>
            <wp:effectExtent l="0" t="0" r="5715" b="1270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9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24"/>
        </w:rPr>
      </w:pPr>
    </w:p>
    <w:p>
      <w:pPr>
        <w:adjustRightInd w:val="0"/>
        <w:snapToGrid w:val="0"/>
        <w:spacing w:line="590" w:lineRule="exact"/>
        <w:jc w:val="both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客服支持：</w:t>
      </w:r>
      <w:r>
        <w:rPr>
          <w:rFonts w:ascii="Times New Roman" w:hAnsi="Times New Roman" w:eastAsia="仿宋_GB2312"/>
          <w:sz w:val="32"/>
          <w:szCs w:val="24"/>
        </w:rPr>
        <w:t>400 001 8080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474" w:bottom="1701" w:left="1588" w:header="851" w:footer="1588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6" w:rightChars="3"/>
      <w:jc w:val="right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  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7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6" w:rightChars="3"/>
      <w:jc w:val="right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  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6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 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42F27"/>
    <w:rsid w:val="670B4D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rFonts w:cs="Times New Roman"/>
      <w:color w:val="0000FF"/>
      <w:u w:val="single"/>
    </w:rPr>
  </w:style>
  <w:style w:type="paragraph" w:customStyle="1" w:styleId="8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2019-01-08T03:25:44Z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