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default" w:eastAsia="黑体"/>
          <w:kern w:val="0"/>
          <w:sz w:val="32"/>
          <w:szCs w:val="32"/>
        </w:rPr>
      </w:pPr>
      <w:r>
        <w:rPr>
          <w:rFonts w:hint="default" w:hAnsi="黑体" w:eastAsia="黑体"/>
          <w:kern w:val="0"/>
          <w:sz w:val="32"/>
          <w:szCs w:val="32"/>
        </w:rPr>
        <w:t>附件</w:t>
      </w:r>
      <w:r>
        <w:rPr>
          <w:rFonts w:hint="default" w:eastAsia="黑体"/>
          <w:kern w:val="0"/>
          <w:sz w:val="32"/>
          <w:szCs w:val="32"/>
        </w:rPr>
        <w:t>5</w:t>
      </w:r>
    </w:p>
    <w:p>
      <w:pPr>
        <w:adjustRightInd w:val="0"/>
        <w:snapToGrid w:val="0"/>
        <w:spacing w:line="600" w:lineRule="exact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2019年省卫生健康面向农村和城市社区</w:t>
      </w:r>
    </w:p>
    <w:p>
      <w:pPr>
        <w:adjustRightInd w:val="0"/>
        <w:snapToGrid w:val="0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推广适宜技术申报指南</w:t>
      </w:r>
    </w:p>
    <w:p>
      <w:pPr>
        <w:adjustRightInd w:val="0"/>
        <w:snapToGrid w:val="0"/>
        <w:spacing w:line="600" w:lineRule="exact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一、重点支持领域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肿瘤、糖尿病、高血压、心脑肺血管病等慢性非传染性疾病防治、院前急救和中医康复等基层适宜技术的研发和推广。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二、申报要求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每</w:t>
      </w:r>
      <w:r>
        <w:rPr>
          <w:rFonts w:hint="default" w:eastAsia="仿宋_GB2312"/>
          <w:kern w:val="0"/>
          <w:sz w:val="32"/>
          <w:szCs w:val="32"/>
        </w:rPr>
        <w:t>个项目</w:t>
      </w:r>
      <w:r>
        <w:rPr>
          <w:rFonts w:eastAsia="仿宋_GB2312"/>
          <w:kern w:val="0"/>
          <w:sz w:val="32"/>
          <w:szCs w:val="32"/>
        </w:rPr>
        <w:t>资助经费</w:t>
      </w:r>
      <w:r>
        <w:rPr>
          <w:rFonts w:hint="default"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万元。研究时限原则不超过</w:t>
      </w:r>
      <w:r>
        <w:rPr>
          <w:rFonts w:hint="default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年，起始时间为</w:t>
      </w:r>
      <w:r>
        <w:rPr>
          <w:rFonts w:hint="default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年，结束时间原则不超过20</w:t>
      </w:r>
      <w:r>
        <w:rPr>
          <w:rFonts w:hint="default" w:eastAsia="仿宋_GB2312"/>
          <w:kern w:val="0"/>
          <w:sz w:val="32"/>
          <w:szCs w:val="32"/>
        </w:rPr>
        <w:t>22</w:t>
      </w:r>
      <w:r>
        <w:rPr>
          <w:rFonts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default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default" w:eastAsia="仿宋_GB2312"/>
          <w:kern w:val="0"/>
          <w:sz w:val="32"/>
          <w:szCs w:val="32"/>
        </w:rPr>
        <w:t>申报单位必须为二级及以上医疗机构。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default" w:eastAsia="仿宋_GB2312"/>
          <w:kern w:val="0"/>
          <w:sz w:val="32"/>
          <w:szCs w:val="32"/>
        </w:rPr>
        <w:t>三</w:t>
      </w:r>
      <w:r>
        <w:rPr>
          <w:rFonts w:eastAsia="仿宋_GB2312"/>
          <w:kern w:val="0"/>
          <w:sz w:val="32"/>
          <w:szCs w:val="32"/>
        </w:rPr>
        <w:t>）项目技术先进、成熟、安全有效，对医疗设备要求不高，基层医疗卫生人员通过学习较易掌握，适宜县级</w:t>
      </w:r>
      <w:r>
        <w:rPr>
          <w:rFonts w:hint="default" w:eastAsia="仿宋_GB2312"/>
          <w:kern w:val="0"/>
          <w:sz w:val="32"/>
          <w:szCs w:val="32"/>
        </w:rPr>
        <w:t>及</w:t>
      </w:r>
      <w:r>
        <w:rPr>
          <w:rFonts w:eastAsia="仿宋_GB2312"/>
          <w:kern w:val="0"/>
          <w:sz w:val="32"/>
          <w:szCs w:val="32"/>
        </w:rPr>
        <w:t>以下农村及城市社区医疗卫生单位使用。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</w:t>
      </w:r>
      <w:r>
        <w:rPr>
          <w:rFonts w:hint="default" w:eastAsia="仿宋_GB2312"/>
          <w:kern w:val="0"/>
          <w:sz w:val="32"/>
          <w:szCs w:val="32"/>
        </w:rPr>
        <w:t>四</w:t>
      </w:r>
      <w:r>
        <w:rPr>
          <w:rFonts w:eastAsia="仿宋_GB2312"/>
          <w:kern w:val="0"/>
          <w:sz w:val="32"/>
          <w:szCs w:val="32"/>
        </w:rPr>
        <w:t>）项目应在一定范围内推广应用2年以上，取得良好效果，有2个以上（含2个）基层单位提供应用证明。与推广的技术项目配套的产品必须是经过批准并获市场准入。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三、各单位推荐申报数</w:t>
      </w:r>
    </w:p>
    <w:p>
      <w:pPr>
        <w:adjustRightInd w:val="0"/>
        <w:snapToGrid w:val="0"/>
        <w:spacing w:line="120" w:lineRule="auto"/>
        <w:ind w:firstLine="640" w:firstLineChars="200"/>
        <w:rPr>
          <w:rFonts w:hint="eastAsia" w:eastAsia="方正黑体简体"/>
          <w:kern w:val="0"/>
          <w:sz w:val="32"/>
          <w:szCs w:val="32"/>
        </w:rPr>
      </w:pPr>
    </w:p>
    <w:tbl>
      <w:tblPr>
        <w:tblStyle w:val="7"/>
        <w:tblW w:w="8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480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推荐申报数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福建省立医院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福建医大附属协和医院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ind w:left="1" w:leftChars="-2" w:hanging="5" w:hangingChars="2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福建医大附属第一医院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福建医大附属第二医院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其余委直属医疗单位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设区市卫生计生委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平潭综合实验区</w:t>
            </w:r>
            <w:r>
              <w:rPr>
                <w:rFonts w:hint="default" w:eastAsia="仿宋_GB2312"/>
                <w:kern w:val="0"/>
                <w:sz w:val="30"/>
                <w:szCs w:val="30"/>
              </w:rPr>
              <w:t>卫生计生</w:t>
            </w:r>
            <w:r>
              <w:rPr>
                <w:rFonts w:eastAsia="仿宋_GB2312"/>
                <w:kern w:val="0"/>
                <w:sz w:val="30"/>
                <w:szCs w:val="30"/>
              </w:rPr>
              <w:t>局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default" w:eastAsia="仿宋_GB2312" w:cs="Times New Roman"/>
                <w:kern w:val="0"/>
                <w:sz w:val="28"/>
                <w:szCs w:val="28"/>
              </w:rPr>
              <w:t>厦门市卫生计生委（资金自筹）</w:t>
            </w:r>
          </w:p>
        </w:tc>
        <w:tc>
          <w:tcPr>
            <w:tcW w:w="2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仿宋_GB2312"/>
                <w:kern w:val="0"/>
                <w:sz w:val="28"/>
                <w:szCs w:val="28"/>
              </w:rPr>
            </w:pPr>
            <w:r>
              <w:rPr>
                <w:rFonts w:hint="default" w:eastAsia="仿宋_GB2312"/>
                <w:kern w:val="0"/>
                <w:sz w:val="28"/>
                <w:szCs w:val="28"/>
              </w:rPr>
              <w:t>6</w:t>
            </w:r>
          </w:p>
        </w:tc>
      </w:tr>
    </w:tbl>
    <w:p>
      <w:pPr>
        <w:adjustRightInd w:val="0"/>
        <w:snapToGrid w:val="0"/>
        <w:spacing w:line="120" w:lineRule="auto"/>
        <w:ind w:firstLine="640" w:firstLineChars="200"/>
        <w:rPr>
          <w:rFonts w:hint="eastAsia" w:eastAsia="方正仿宋简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</w:t>
      </w:r>
      <w:r>
        <w:rPr>
          <w:rFonts w:ascii="黑体" w:hAnsi="黑体" w:eastAsia="黑体"/>
          <w:kern w:val="0"/>
          <w:sz w:val="32"/>
          <w:szCs w:val="32"/>
        </w:rPr>
        <w:t>、报送材料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（一）项目申请书及有关材料一式</w:t>
      </w:r>
      <w:r>
        <w:rPr>
          <w:rFonts w:hint="default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default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含1份原件。有关材料含项目的主要技术资料、鉴定（评审）证书、获奖证书、专利证书、有关法律法规要求该项目及配套产品的市场准入文件、已推广应用证明及工作总结报告等，以上资料用A4纸复印，左侧</w:t>
      </w:r>
      <w:r>
        <w:rPr>
          <w:rFonts w:hint="default" w:eastAsia="仿宋_GB2312"/>
          <w:kern w:val="0"/>
          <w:sz w:val="32"/>
          <w:szCs w:val="32"/>
        </w:rPr>
        <w:t>胶装</w:t>
      </w:r>
      <w:r>
        <w:rPr>
          <w:rFonts w:eastAsia="仿宋_GB2312"/>
          <w:kern w:val="0"/>
          <w:sz w:val="32"/>
          <w:szCs w:val="32"/>
        </w:rPr>
        <w:t>成册。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hint="default" w:eastAsia="仿宋_GB2312"/>
          <w:kern w:val="0"/>
          <w:sz w:val="32"/>
          <w:szCs w:val="32"/>
        </w:rPr>
        <w:t>各推荐</w:t>
      </w:r>
      <w:r>
        <w:rPr>
          <w:rFonts w:eastAsia="仿宋_GB2312"/>
          <w:kern w:val="0"/>
          <w:sz w:val="32"/>
          <w:szCs w:val="32"/>
        </w:rPr>
        <w:t>单位</w:t>
      </w:r>
      <w:r>
        <w:rPr>
          <w:rFonts w:hint="default" w:eastAsia="仿宋_GB2312"/>
          <w:kern w:val="0"/>
          <w:sz w:val="32"/>
          <w:szCs w:val="32"/>
        </w:rPr>
        <w:t>负责对本单位或所辖医疗卫生单位申报的项目进行筛选汇总，并将单位项目</w:t>
      </w:r>
      <w:r>
        <w:rPr>
          <w:rFonts w:eastAsia="仿宋_GB2312"/>
          <w:kern w:val="0"/>
          <w:sz w:val="32"/>
          <w:szCs w:val="32"/>
        </w:rPr>
        <w:t>申报汇总表</w:t>
      </w:r>
      <w:r>
        <w:rPr>
          <w:rFonts w:hint="default" w:eastAsia="仿宋_GB2312"/>
          <w:kern w:val="0"/>
          <w:sz w:val="32"/>
          <w:szCs w:val="32"/>
        </w:rPr>
        <w:t>报送委科教处，</w:t>
      </w:r>
      <w:r>
        <w:rPr>
          <w:rFonts w:eastAsia="仿宋_GB2312"/>
          <w:kern w:val="0"/>
          <w:sz w:val="32"/>
          <w:szCs w:val="32"/>
        </w:rPr>
        <w:t>电子文档发至指定邮箱。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bookmarkStart w:id="0" w:name="_Hlt409598350"/>
      <w:bookmarkStart w:id="1" w:name="_Hlt409598349"/>
      <w:r>
        <w:rPr>
          <w:rFonts w:hint="eastAsia" w:ascii="黑体" w:hAnsi="黑体" w:eastAsia="黑体"/>
          <w:kern w:val="0"/>
          <w:sz w:val="32"/>
          <w:szCs w:val="32"/>
        </w:rPr>
        <w:t>五、其他事项</w:t>
      </w:r>
    </w:p>
    <w:bookmarkEnd w:id="0"/>
    <w:bookmarkEnd w:id="1"/>
    <w:p>
      <w:pPr>
        <w:adjustRightInd w:val="0"/>
        <w:snapToGrid w:val="0"/>
        <w:spacing w:line="600" w:lineRule="exact"/>
        <w:ind w:firstLine="640" w:firstLineChars="200"/>
      </w:pPr>
      <w:r>
        <w:rPr>
          <w:rFonts w:hint="default" w:eastAsia="仿宋_GB2312"/>
          <w:kern w:val="0"/>
          <w:sz w:val="32"/>
          <w:szCs w:val="32"/>
        </w:rPr>
        <w:t>立项</w:t>
      </w:r>
      <w:r>
        <w:rPr>
          <w:rFonts w:eastAsia="仿宋_GB2312"/>
          <w:kern w:val="0"/>
          <w:sz w:val="32"/>
          <w:szCs w:val="32"/>
        </w:rPr>
        <w:t>推广的项目可授予省级</w:t>
      </w:r>
      <w:r>
        <w:rPr>
          <w:rFonts w:hint="default" w:eastAsia="仿宋_GB2312"/>
          <w:kern w:val="0"/>
          <w:sz w:val="32"/>
          <w:szCs w:val="32"/>
        </w:rPr>
        <w:t>Ⅰ</w:t>
      </w:r>
      <w:r>
        <w:rPr>
          <w:rFonts w:eastAsia="仿宋_GB2312"/>
          <w:kern w:val="0"/>
          <w:sz w:val="32"/>
          <w:szCs w:val="32"/>
        </w:rPr>
        <w:t>类继续教育学分。</w:t>
      </w:r>
      <w:bookmarkStart w:id="2" w:name="_GoBack"/>
      <w:bookmarkEnd w:id="2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701" w:left="1588" w:header="851" w:footer="1588" w:gutter="0"/>
      <w:pgNumType w:start="17"/>
      <w:cols w:space="720" w:num="1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983" w:wrap="around" w:vAnchor="text" w:hAnchor="page" w:xAlign="outside" w:y="3"/>
      <w:ind w:right="178" w:rightChars="85"/>
      <w:jc w:val="right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19" w:wrap="around" w:vAnchor="text" w:hAnchor="margin" w:xAlign="outside" w:y="3"/>
      <w:ind w:firstLine="179" w:firstLineChars="6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56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0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1"/>
    <w:basedOn w:val="1"/>
    <w:link w:val="4"/>
    <w:uiPriority w:val="0"/>
    <w:pPr>
      <w:widowControl/>
      <w:spacing w:after="160" w:line="240" w:lineRule="exact"/>
      <w:jc w:val="left"/>
    </w:pPr>
    <w:rPr>
      <w:szCs w:val="20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2018-12-11T01:42:53Z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