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rPr>
          <w:rFonts w:hint="default" w:ascii="Times New Roman" w:hAnsi="Times New Roman" w:eastAsia="黑体"/>
          <w:kern w:val="0"/>
          <w:sz w:val="32"/>
          <w:szCs w:val="32"/>
        </w:rPr>
      </w:pPr>
      <w:r>
        <w:rPr>
          <w:rFonts w:hint="default" w:ascii="Times New Roman" w:hAnsi="黑体" w:eastAsia="黑体"/>
          <w:kern w:val="0"/>
          <w:sz w:val="32"/>
          <w:szCs w:val="32"/>
        </w:rPr>
        <w:t>附件</w:t>
      </w:r>
      <w:r>
        <w:rPr>
          <w:rFonts w:hint="default" w:ascii="Times New Roman" w:hAnsi="Times New Roman" w:eastAsia="黑体"/>
          <w:kern w:val="0"/>
          <w:sz w:val="32"/>
          <w:szCs w:val="32"/>
        </w:rPr>
        <w:t>2</w:t>
      </w:r>
    </w:p>
    <w:p>
      <w:pPr>
        <w:adjustRightInd w:val="0"/>
        <w:snapToGrid w:val="0"/>
        <w:spacing w:line="620" w:lineRule="exact"/>
        <w:rPr>
          <w:rFonts w:hint="eastAsia" w:eastAsia="方正小标宋简体"/>
          <w:kern w:val="0"/>
          <w:sz w:val="44"/>
          <w:szCs w:val="44"/>
        </w:rPr>
      </w:pPr>
    </w:p>
    <w:p>
      <w:pPr>
        <w:adjustRightInd w:val="0"/>
        <w:snapToGrid w:val="0"/>
        <w:jc w:val="center"/>
        <w:rPr>
          <w:rFonts w:hint="eastAsia" w:eastAsia="方正小标宋简体"/>
          <w:kern w:val="0"/>
          <w:sz w:val="44"/>
          <w:szCs w:val="44"/>
        </w:rPr>
      </w:pPr>
      <w:r>
        <w:rPr>
          <w:rFonts w:hint="default" w:ascii="Times New Roman" w:hAnsi="Times New Roman" w:eastAsia="方正小标宋简体"/>
          <w:kern w:val="0"/>
          <w:sz w:val="44"/>
          <w:szCs w:val="44"/>
        </w:rPr>
        <w:t>2019</w:t>
      </w:r>
      <w:r>
        <w:rPr>
          <w:rFonts w:hint="eastAsia" w:eastAsia="方正小标宋简体"/>
          <w:kern w:val="0"/>
          <w:sz w:val="44"/>
          <w:szCs w:val="44"/>
        </w:rPr>
        <w:t>年省卫生健康中青年骨干</w:t>
      </w:r>
    </w:p>
    <w:p>
      <w:pPr>
        <w:adjustRightInd w:val="0"/>
        <w:snapToGrid w:val="0"/>
        <w:jc w:val="center"/>
        <w:rPr>
          <w:rFonts w:hint="eastAsia" w:eastAsia="方正小标宋简体"/>
          <w:kern w:val="0"/>
          <w:sz w:val="44"/>
          <w:szCs w:val="44"/>
        </w:rPr>
      </w:pPr>
      <w:r>
        <w:rPr>
          <w:rFonts w:hint="eastAsia" w:eastAsia="方正小标宋简体"/>
          <w:kern w:val="0"/>
          <w:sz w:val="44"/>
          <w:szCs w:val="44"/>
        </w:rPr>
        <w:t>人才培养项目申报指南</w:t>
      </w:r>
    </w:p>
    <w:p>
      <w:pPr>
        <w:adjustRightInd w:val="0"/>
        <w:snapToGrid w:val="0"/>
        <w:spacing w:line="600" w:lineRule="exact"/>
        <w:rPr>
          <w:rFonts w:hint="eastAsia" w:eastAsia="方正小标宋简体"/>
          <w:kern w:val="0"/>
          <w:sz w:val="44"/>
          <w:szCs w:val="44"/>
        </w:rPr>
      </w:pPr>
    </w:p>
    <w:p>
      <w:pPr>
        <w:adjustRightInd w:val="0"/>
        <w:snapToGrid w:val="0"/>
        <w:spacing w:line="600" w:lineRule="exact"/>
        <w:ind w:firstLine="640" w:firstLineChars="200"/>
        <w:rPr>
          <w:rFonts w:hint="default" w:ascii="黑体" w:hAnsi="黑体" w:eastAsia="黑体"/>
          <w:kern w:val="0"/>
          <w:sz w:val="32"/>
          <w:szCs w:val="32"/>
        </w:rPr>
      </w:pPr>
      <w:r>
        <w:rPr>
          <w:rFonts w:hint="default" w:ascii="黑体" w:hAnsi="黑体" w:eastAsia="黑体"/>
          <w:kern w:val="0"/>
          <w:sz w:val="32"/>
          <w:szCs w:val="32"/>
        </w:rPr>
        <w:t>一、重点支持领域</w:t>
      </w:r>
    </w:p>
    <w:p>
      <w:pPr>
        <w:snapToGrid w:val="0"/>
        <w:spacing w:line="600" w:lineRule="exact"/>
        <w:ind w:firstLine="633" w:firstLineChars="198"/>
        <w:jc w:val="left"/>
        <w:rPr>
          <w:rFonts w:hint="default" w:ascii="Times New Roman" w:hAnsi="Times New Roman" w:eastAsia="仿宋_GB2312"/>
          <w:sz w:val="32"/>
          <w:szCs w:val="32"/>
        </w:rPr>
      </w:pPr>
      <w:r>
        <w:rPr>
          <w:rFonts w:ascii="Times New Roman" w:hAnsi="Times New Roman" w:eastAsia="仿宋_GB2312"/>
          <w:sz w:val="32"/>
          <w:szCs w:val="32"/>
        </w:rPr>
        <w:t>围绕危害人民身体健康的常见病、多发病、传染病、职业病等疾病防治的重点、难点问题开展的</w:t>
      </w:r>
      <w:r>
        <w:rPr>
          <w:rFonts w:hint="default" w:ascii="Times New Roman" w:hAnsi="Times New Roman" w:eastAsia="仿宋_GB2312"/>
          <w:sz w:val="32"/>
          <w:szCs w:val="32"/>
        </w:rPr>
        <w:t>科学</w:t>
      </w:r>
      <w:r>
        <w:rPr>
          <w:rFonts w:ascii="Times New Roman" w:hAnsi="Times New Roman" w:eastAsia="仿宋_GB2312"/>
          <w:sz w:val="32"/>
          <w:szCs w:val="32"/>
        </w:rPr>
        <w:t>研究</w:t>
      </w:r>
      <w:r>
        <w:rPr>
          <w:rFonts w:hint="default" w:ascii="Times New Roman" w:hAnsi="Times New Roman" w:eastAsia="仿宋_GB2312"/>
          <w:sz w:val="32"/>
          <w:szCs w:val="32"/>
        </w:rPr>
        <w:t>，优先支持人工智能、大数据精准医疗、生物工程等医工交叉研究项目。</w:t>
      </w:r>
    </w:p>
    <w:p>
      <w:pPr>
        <w:adjustRightInd w:val="0"/>
        <w:snapToGrid w:val="0"/>
        <w:spacing w:line="600" w:lineRule="exact"/>
        <w:ind w:firstLine="640" w:firstLineChars="200"/>
        <w:rPr>
          <w:rFonts w:hint="default" w:ascii="黑体" w:hAnsi="黑体" w:eastAsia="黑体"/>
          <w:kern w:val="0"/>
          <w:sz w:val="32"/>
          <w:szCs w:val="32"/>
        </w:rPr>
      </w:pPr>
      <w:r>
        <w:rPr>
          <w:rFonts w:hint="default" w:ascii="黑体" w:hAnsi="黑体" w:eastAsia="黑体"/>
          <w:kern w:val="0"/>
          <w:sz w:val="32"/>
          <w:szCs w:val="32"/>
        </w:rPr>
        <w:t>二、申报要求</w:t>
      </w:r>
    </w:p>
    <w:p>
      <w:pPr>
        <w:adjustRightInd w:val="0"/>
        <w:snapToGri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default" w:ascii="Times New Roman" w:hAnsi="Times New Roman" w:eastAsia="仿宋_GB2312"/>
          <w:kern w:val="0"/>
          <w:sz w:val="32"/>
          <w:szCs w:val="32"/>
        </w:rPr>
        <w:t xml:space="preserve"> </w:t>
      </w:r>
      <w:r>
        <w:rPr>
          <w:rFonts w:ascii="Times New Roman" w:hAnsi="Times New Roman" w:eastAsia="仿宋_GB2312"/>
          <w:kern w:val="0"/>
          <w:sz w:val="32"/>
          <w:szCs w:val="32"/>
        </w:rPr>
        <w:t>每</w:t>
      </w:r>
      <w:r>
        <w:rPr>
          <w:rFonts w:hint="default" w:ascii="Times New Roman" w:hAnsi="Times New Roman" w:eastAsia="仿宋_GB2312"/>
          <w:kern w:val="0"/>
          <w:sz w:val="32"/>
          <w:szCs w:val="32"/>
        </w:rPr>
        <w:t>个项目</w:t>
      </w:r>
      <w:r>
        <w:rPr>
          <w:rFonts w:ascii="Times New Roman" w:hAnsi="Times New Roman" w:eastAsia="仿宋_GB2312"/>
          <w:kern w:val="0"/>
          <w:sz w:val="32"/>
          <w:szCs w:val="32"/>
        </w:rPr>
        <w:t>资助经费</w:t>
      </w:r>
      <w:r>
        <w:rPr>
          <w:rFonts w:hint="default" w:ascii="Times New Roman" w:hAnsi="Times New Roman" w:eastAsia="仿宋_GB2312"/>
          <w:kern w:val="0"/>
          <w:sz w:val="32"/>
          <w:szCs w:val="32"/>
        </w:rPr>
        <w:t>约8</w:t>
      </w:r>
      <w:r>
        <w:rPr>
          <w:rFonts w:ascii="Times New Roman" w:hAnsi="Times New Roman" w:eastAsia="仿宋_GB2312"/>
          <w:kern w:val="0"/>
          <w:sz w:val="32"/>
          <w:szCs w:val="32"/>
        </w:rPr>
        <w:t>万元。研究时限原则不超过3年，起始时间为</w:t>
      </w:r>
      <w:r>
        <w:rPr>
          <w:rFonts w:hint="default" w:ascii="Times New Roman" w:hAnsi="Times New Roman" w:eastAsia="仿宋_GB2312"/>
          <w:kern w:val="0"/>
          <w:sz w:val="32"/>
          <w:szCs w:val="32"/>
        </w:rPr>
        <w:t>2019</w:t>
      </w:r>
      <w:r>
        <w:rPr>
          <w:rFonts w:ascii="Times New Roman" w:hAnsi="Times New Roman" w:eastAsia="仿宋_GB2312"/>
          <w:kern w:val="0"/>
          <w:sz w:val="32"/>
          <w:szCs w:val="32"/>
        </w:rPr>
        <w:t>年，结束时间原则不超过20</w:t>
      </w:r>
      <w:r>
        <w:rPr>
          <w:rFonts w:hint="default" w:ascii="Times New Roman" w:hAnsi="Times New Roman" w:eastAsia="仿宋_GB2312"/>
          <w:kern w:val="0"/>
          <w:sz w:val="32"/>
          <w:szCs w:val="32"/>
        </w:rPr>
        <w:t>22</w:t>
      </w:r>
      <w:r>
        <w:rPr>
          <w:rFonts w:ascii="Times New Roman" w:hAnsi="Times New Roman" w:eastAsia="仿宋_GB2312"/>
          <w:kern w:val="0"/>
          <w:sz w:val="32"/>
          <w:szCs w:val="32"/>
        </w:rPr>
        <w:t>年。</w:t>
      </w:r>
    </w:p>
    <w:p>
      <w:pPr>
        <w:widowControl/>
        <w:shd w:val="clear" w:color="auto" w:fill="FFFFFF"/>
        <w:snapToGrid w:val="0"/>
        <w:spacing w:line="600" w:lineRule="exact"/>
        <w:ind w:firstLine="602"/>
        <w:jc w:val="left"/>
        <w:rPr>
          <w:rFonts w:hint="default" w:ascii="Times New Roman" w:hAnsi="Times New Roman" w:eastAsia="仿宋_GB2312"/>
          <w:sz w:val="32"/>
          <w:szCs w:val="32"/>
        </w:rPr>
      </w:pPr>
      <w:r>
        <w:rPr>
          <w:rFonts w:hint="default" w:ascii="Times New Roman" w:hAnsi="Times New Roman" w:eastAsia="仿宋_GB2312"/>
          <w:sz w:val="32"/>
          <w:szCs w:val="32"/>
        </w:rPr>
        <w:t>2</w:t>
      </w:r>
      <w:r>
        <w:rPr>
          <w:rFonts w:ascii="Times New Roman" w:hAnsi="Times New Roman" w:eastAsia="仿宋_GB2312"/>
          <w:sz w:val="32"/>
          <w:szCs w:val="32"/>
        </w:rPr>
        <w:t>.</w:t>
      </w:r>
      <w:r>
        <w:rPr>
          <w:rFonts w:hint="default" w:ascii="Times New Roman" w:hAnsi="Times New Roman" w:eastAsia="仿宋_GB2312"/>
          <w:sz w:val="32"/>
          <w:szCs w:val="32"/>
        </w:rPr>
        <w:t xml:space="preserve"> </w:t>
      </w:r>
      <w:r>
        <w:rPr>
          <w:rFonts w:ascii="Times New Roman" w:hAnsi="Times New Roman" w:eastAsia="仿宋_GB2312"/>
          <w:sz w:val="32"/>
          <w:szCs w:val="32"/>
        </w:rPr>
        <w:t>申请者</w:t>
      </w:r>
      <w:r>
        <w:rPr>
          <w:rFonts w:hint="default" w:ascii="Times New Roman" w:hAnsi="Times New Roman" w:eastAsia="仿宋_GB2312"/>
          <w:sz w:val="32"/>
          <w:szCs w:val="32"/>
        </w:rPr>
        <w:t>应</w:t>
      </w:r>
      <w:r>
        <w:rPr>
          <w:rFonts w:ascii="Times New Roman" w:hAnsi="Times New Roman" w:eastAsia="仿宋_GB2312"/>
          <w:sz w:val="32"/>
          <w:szCs w:val="32"/>
        </w:rPr>
        <w:t>获得博士学位，或同时具有副高</w:t>
      </w:r>
      <w:r>
        <w:rPr>
          <w:rFonts w:ascii="Times New Roman" w:hAnsi="Times New Roman" w:eastAsia="仿宋_GB2312"/>
          <w:kern w:val="0"/>
          <w:sz w:val="32"/>
          <w:szCs w:val="32"/>
        </w:rPr>
        <w:t>级及</w:t>
      </w:r>
      <w:r>
        <w:rPr>
          <w:rFonts w:ascii="Times New Roman" w:hAnsi="Times New Roman" w:eastAsia="仿宋_GB2312"/>
          <w:sz w:val="32"/>
          <w:szCs w:val="32"/>
        </w:rPr>
        <w:t>以上专业技术资格和硕士学位。年龄在45岁周岁以下（</w:t>
      </w:r>
      <w:r>
        <w:rPr>
          <w:rFonts w:ascii="Times New Roman" w:hAnsi="Times New Roman" w:eastAsia="仿宋_GB2312"/>
          <w:color w:val="auto"/>
          <w:sz w:val="32"/>
          <w:szCs w:val="32"/>
        </w:rPr>
        <w:t>19</w:t>
      </w:r>
      <w:r>
        <w:rPr>
          <w:rFonts w:hint="default" w:ascii="Times New Roman" w:hAnsi="Times New Roman" w:eastAsia="仿宋_GB2312"/>
          <w:color w:val="auto"/>
          <w:sz w:val="32"/>
          <w:szCs w:val="32"/>
        </w:rPr>
        <w:t>74</w:t>
      </w:r>
      <w:r>
        <w:rPr>
          <w:rFonts w:ascii="Times New Roman" w:hAnsi="Times New Roman" w:eastAsia="仿宋_GB2312"/>
          <w:color w:val="auto"/>
          <w:sz w:val="32"/>
          <w:szCs w:val="32"/>
        </w:rPr>
        <w:t>年1月1日</w:t>
      </w:r>
      <w:r>
        <w:rPr>
          <w:rFonts w:ascii="Times New Roman" w:hAnsi="Times New Roman" w:eastAsia="仿宋_GB2312"/>
          <w:sz w:val="32"/>
          <w:szCs w:val="32"/>
        </w:rPr>
        <w:t>以后出生）。近三年</w:t>
      </w:r>
      <w:r>
        <w:rPr>
          <w:rFonts w:hint="default" w:ascii="Times New Roman" w:hAnsi="Times New Roman" w:eastAsia="仿宋_GB2312"/>
          <w:kern w:val="0"/>
          <w:sz w:val="32"/>
          <w:szCs w:val="32"/>
        </w:rPr>
        <w:t>（</w:t>
      </w:r>
      <w:r>
        <w:rPr>
          <w:rFonts w:hint="default" w:ascii="Times New Roman" w:hAnsi="Times New Roman" w:eastAsia="仿宋_GB2312"/>
          <w:color w:val="auto"/>
          <w:kern w:val="0"/>
          <w:sz w:val="32"/>
          <w:szCs w:val="32"/>
        </w:rPr>
        <w:t>2016年1月1日之后</w:t>
      </w:r>
      <w:r>
        <w:rPr>
          <w:rFonts w:hint="default" w:ascii="Times New Roman" w:hAnsi="Times New Roman" w:eastAsia="仿宋_GB2312"/>
          <w:kern w:val="0"/>
          <w:sz w:val="32"/>
          <w:szCs w:val="32"/>
        </w:rPr>
        <w:t>）</w:t>
      </w:r>
      <w:r>
        <w:rPr>
          <w:rFonts w:ascii="Times New Roman" w:hAnsi="Times New Roman" w:eastAsia="仿宋_GB2312"/>
          <w:sz w:val="32"/>
          <w:szCs w:val="32"/>
        </w:rPr>
        <w:t>以第一作者或通讯作者发表至少1篇的CSCD文章</w:t>
      </w:r>
      <w:r>
        <w:rPr>
          <w:rFonts w:hint="default"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eastAsia="仿宋_GB2312"/>
          <w:kern w:val="0"/>
          <w:sz w:val="32"/>
          <w:szCs w:val="32"/>
        </w:rPr>
      </w:pPr>
      <w:r>
        <w:rPr>
          <w:rFonts w:hint="default" w:ascii="Times New Roman" w:hAnsi="Times New Roman" w:eastAsia="仿宋_GB2312"/>
          <w:kern w:val="0"/>
          <w:sz w:val="32"/>
          <w:szCs w:val="32"/>
        </w:rPr>
        <w:t>3</w:t>
      </w:r>
      <w:r>
        <w:rPr>
          <w:rFonts w:ascii="Times New Roman" w:hAnsi="Times New Roman" w:eastAsia="仿宋_GB2312"/>
          <w:kern w:val="0"/>
          <w:sz w:val="32"/>
          <w:szCs w:val="32"/>
        </w:rPr>
        <w:t>.</w:t>
      </w:r>
      <w:r>
        <w:rPr>
          <w:rFonts w:hint="default" w:ascii="Times New Roman" w:hAnsi="Times New Roman" w:eastAsia="仿宋_GB2312"/>
          <w:kern w:val="0"/>
          <w:sz w:val="32"/>
          <w:szCs w:val="32"/>
        </w:rPr>
        <w:t xml:space="preserve"> </w:t>
      </w:r>
      <w:r>
        <w:rPr>
          <w:rFonts w:ascii="Times New Roman" w:hAnsi="Times New Roman" w:eastAsia="仿宋_GB2312"/>
          <w:kern w:val="0"/>
          <w:sz w:val="32"/>
          <w:szCs w:val="32"/>
        </w:rPr>
        <w:t>申请者应提供省医学情报所、省中医药文献信息中心、厦门市医药研究所医药信息中心等具有资质单位出具的科技项目查新报告（查新检索报告需为原件且查新时间应为</w:t>
      </w:r>
      <w:r>
        <w:rPr>
          <w:rFonts w:ascii="Times New Roman" w:hAnsi="Times New Roman" w:eastAsia="仿宋_GB2312"/>
          <w:color w:val="auto"/>
          <w:kern w:val="0"/>
          <w:sz w:val="32"/>
          <w:szCs w:val="32"/>
        </w:rPr>
        <w:t>201</w:t>
      </w:r>
      <w:r>
        <w:rPr>
          <w:rFonts w:hint="default" w:ascii="Times New Roman" w:hAnsi="Times New Roman" w:eastAsia="仿宋_GB2312"/>
          <w:color w:val="auto"/>
          <w:kern w:val="0"/>
          <w:sz w:val="32"/>
          <w:szCs w:val="32"/>
        </w:rPr>
        <w:t>8</w:t>
      </w:r>
      <w:r>
        <w:rPr>
          <w:rFonts w:ascii="Times New Roman" w:hAnsi="Times New Roman" w:eastAsia="仿宋_GB2312"/>
          <w:color w:val="auto"/>
          <w:kern w:val="0"/>
          <w:sz w:val="32"/>
          <w:szCs w:val="32"/>
        </w:rPr>
        <w:t>年</w:t>
      </w:r>
      <w:r>
        <w:rPr>
          <w:rFonts w:hint="default" w:ascii="Times New Roman" w:hAnsi="Times New Roman" w:eastAsia="仿宋_GB2312"/>
          <w:color w:val="auto"/>
          <w:kern w:val="0"/>
          <w:sz w:val="32"/>
          <w:szCs w:val="32"/>
        </w:rPr>
        <w:t>7</w:t>
      </w:r>
      <w:r>
        <w:rPr>
          <w:rFonts w:ascii="Times New Roman" w:hAnsi="Times New Roman" w:eastAsia="仿宋_GB2312"/>
          <w:color w:val="auto"/>
          <w:kern w:val="0"/>
          <w:sz w:val="32"/>
          <w:szCs w:val="32"/>
        </w:rPr>
        <w:t>月</w:t>
      </w:r>
      <w:r>
        <w:rPr>
          <w:rFonts w:hint="default" w:ascii="Times New Roman" w:hAnsi="Times New Roman" w:eastAsia="仿宋_GB2312"/>
          <w:color w:val="auto"/>
          <w:kern w:val="0"/>
          <w:sz w:val="32"/>
          <w:szCs w:val="32"/>
        </w:rPr>
        <w:t>1日之后</w:t>
      </w:r>
      <w:r>
        <w:rPr>
          <w:rFonts w:hint="default" w:ascii="Times New Roman" w:hAnsi="Times New Roman" w:eastAsia="仿宋_GB2312"/>
          <w:kern w:val="0"/>
          <w:sz w:val="32"/>
          <w:szCs w:val="32"/>
        </w:rPr>
        <w:t>）</w:t>
      </w:r>
      <w:r>
        <w:rPr>
          <w:rFonts w:ascii="Times New Roman" w:hAnsi="Times New Roman" w:eastAsia="仿宋_GB2312"/>
          <w:kern w:val="0"/>
          <w:sz w:val="32"/>
          <w:szCs w:val="32"/>
        </w:rPr>
        <w:t>。</w:t>
      </w:r>
    </w:p>
    <w:p>
      <w:pPr>
        <w:widowControl/>
        <w:shd w:val="clear" w:color="auto" w:fill="FFFFFF"/>
        <w:snapToGrid w:val="0"/>
        <w:spacing w:line="600" w:lineRule="exact"/>
        <w:ind w:firstLine="633" w:firstLineChars="198"/>
        <w:jc w:val="left"/>
        <w:rPr>
          <w:rFonts w:ascii="Times New Roman" w:hAnsi="Times New Roman" w:eastAsia="仿宋_GB2312"/>
          <w:sz w:val="32"/>
          <w:szCs w:val="32"/>
        </w:rPr>
      </w:pPr>
      <w:r>
        <w:rPr>
          <w:rFonts w:hint="default" w:ascii="Times New Roman" w:hAnsi="Times New Roman" w:eastAsia="仿宋_GB2312"/>
          <w:sz w:val="32"/>
          <w:szCs w:val="32"/>
        </w:rPr>
        <w:t>4</w:t>
      </w:r>
      <w:r>
        <w:rPr>
          <w:rFonts w:ascii="Times New Roman" w:hAnsi="Times New Roman" w:eastAsia="仿宋_GB2312"/>
          <w:sz w:val="32"/>
          <w:szCs w:val="32"/>
        </w:rPr>
        <w:t>.</w:t>
      </w:r>
      <w:r>
        <w:rPr>
          <w:rFonts w:hint="default" w:ascii="Times New Roman" w:hAnsi="Times New Roman" w:eastAsia="仿宋_GB2312"/>
          <w:sz w:val="32"/>
          <w:szCs w:val="32"/>
        </w:rPr>
        <w:t xml:space="preserve"> 已获得往年</w:t>
      </w:r>
      <w:r>
        <w:rPr>
          <w:rFonts w:ascii="Times New Roman" w:hAnsi="Times New Roman" w:eastAsia="仿宋_GB2312"/>
          <w:sz w:val="32"/>
          <w:szCs w:val="32"/>
        </w:rPr>
        <w:t>中青年骨干人才培养项目</w:t>
      </w:r>
      <w:r>
        <w:rPr>
          <w:rFonts w:hint="default" w:ascii="Times New Roman" w:hAnsi="Times New Roman" w:eastAsia="仿宋_GB2312"/>
          <w:sz w:val="32"/>
          <w:szCs w:val="32"/>
        </w:rPr>
        <w:t>的申请者不得再次申请。</w:t>
      </w:r>
    </w:p>
    <w:p>
      <w:pPr>
        <w:adjustRightInd w:val="0"/>
        <w:snapToGrid w:val="0"/>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三、各单位推荐申报数</w:t>
      </w:r>
    </w:p>
    <w:tbl>
      <w:tblPr>
        <w:tblStyle w:val="7"/>
        <w:tblW w:w="8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802"/>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83" w:type="dxa"/>
            <w:vAlign w:val="center"/>
          </w:tcPr>
          <w:p>
            <w:pPr>
              <w:widowControl/>
              <w:adjustRightInd w:val="0"/>
              <w:snapToGrid w:val="0"/>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序号</w:t>
            </w:r>
          </w:p>
        </w:tc>
        <w:tc>
          <w:tcPr>
            <w:tcW w:w="4802" w:type="dxa"/>
            <w:vAlign w:val="center"/>
          </w:tcPr>
          <w:p>
            <w:pPr>
              <w:widowControl/>
              <w:adjustRightInd w:val="0"/>
              <w:snapToGrid w:val="0"/>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推荐单位</w:t>
            </w:r>
          </w:p>
        </w:tc>
        <w:tc>
          <w:tcPr>
            <w:tcW w:w="2211" w:type="dxa"/>
            <w:vAlign w:val="center"/>
          </w:tcPr>
          <w:p>
            <w:pPr>
              <w:widowControl/>
              <w:adjustRightInd w:val="0"/>
              <w:snapToGrid w:val="0"/>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推荐申报数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1</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福建省立医院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2</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福建医大附属协和医院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3</w:t>
            </w:r>
          </w:p>
        </w:tc>
        <w:tc>
          <w:tcPr>
            <w:tcW w:w="4802" w:type="dxa"/>
            <w:vAlign w:val="center"/>
          </w:tcPr>
          <w:p>
            <w:pPr>
              <w:widowControl/>
              <w:adjustRightInd w:val="0"/>
              <w:snapToGrid w:val="0"/>
              <w:ind w:left="1" w:leftChars="-2" w:hanging="5" w:hangingChars="2"/>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福建医大附属第一医院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4</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福建医大附属第二医院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5</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福建医大附属口腔医院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6</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福建省肿瘤医院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7</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福建省妇幼保健院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福建省立金山医院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9</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福建中医药大学附属人民医院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福建中医药大学附属第二人民医院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11</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福建中医药大学附属康复医院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12</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福建省疾病预防控制中心</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13</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福建省医学科学研究院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14</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福建医科大学</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15</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福建中医药大学</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16</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厦门医学院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17</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莆田学院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18</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福建卫生职业技术学院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19</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其余委直属及省属卫生计生单位</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20</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设区市卫生计生委</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21</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kern w:val="0"/>
                <w:sz w:val="30"/>
                <w:szCs w:val="30"/>
              </w:rPr>
              <w:t>平潭综合实验</w:t>
            </w:r>
            <w:r>
              <w:rPr>
                <w:rFonts w:hint="default" w:ascii="Times New Roman" w:hAnsi="Times New Roman" w:eastAsia="仿宋_GB2312"/>
                <w:kern w:val="0"/>
                <w:sz w:val="30"/>
                <w:szCs w:val="30"/>
              </w:rPr>
              <w:t>区卫生计生</w:t>
            </w:r>
            <w:r>
              <w:rPr>
                <w:rFonts w:ascii="Times New Roman" w:hAnsi="Times New Roman" w:eastAsia="仿宋_GB2312"/>
                <w:kern w:val="0"/>
                <w:sz w:val="30"/>
                <w:szCs w:val="30"/>
              </w:rPr>
              <w:t>局</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22</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厦门市卫生计生委（资金自筹）</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30</w:t>
            </w:r>
          </w:p>
        </w:tc>
      </w:tr>
    </w:tbl>
    <w:p>
      <w:pPr>
        <w:adjustRightInd w:val="0"/>
        <w:snapToGrid w:val="0"/>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四、报送材料</w:t>
      </w:r>
    </w:p>
    <w:p>
      <w:pPr>
        <w:adjustRightInd w:val="0"/>
        <w:snapToGrid w:val="0"/>
        <w:spacing w:line="600" w:lineRule="exact"/>
        <w:ind w:firstLine="640" w:firstLineChars="200"/>
        <w:rPr>
          <w:rFonts w:ascii="Times New Roman" w:hAnsi="Times New Roman" w:eastAsia="仿宋_GB2312"/>
          <w:kern w:val="0"/>
          <w:sz w:val="32"/>
          <w:szCs w:val="32"/>
        </w:rPr>
      </w:pPr>
      <w:r>
        <w:rPr>
          <w:rFonts w:hint="default" w:ascii="Times New Roman" w:hAnsi="Times New Roman" w:eastAsia="仿宋_GB2312"/>
          <w:kern w:val="0"/>
          <w:sz w:val="32"/>
          <w:szCs w:val="32"/>
        </w:rPr>
        <w:t>（一）项目</w:t>
      </w:r>
      <w:r>
        <w:rPr>
          <w:rFonts w:ascii="Times New Roman" w:hAnsi="Times New Roman" w:eastAsia="仿宋_GB2312"/>
          <w:kern w:val="0"/>
          <w:sz w:val="32"/>
          <w:szCs w:val="32"/>
        </w:rPr>
        <w:t>申请书及有关材料一式4份，含1份原件。有关材料</w:t>
      </w:r>
      <w:r>
        <w:rPr>
          <w:rFonts w:hint="default" w:ascii="Times New Roman" w:hAnsi="Times New Roman" w:eastAsia="仿宋_GB2312"/>
          <w:kern w:val="0"/>
          <w:sz w:val="32"/>
          <w:szCs w:val="32"/>
        </w:rPr>
        <w:t>包括</w:t>
      </w:r>
      <w:r>
        <w:rPr>
          <w:rFonts w:ascii="Times New Roman" w:hAnsi="Times New Roman" w:eastAsia="仿宋_GB2312"/>
          <w:kern w:val="0"/>
          <w:sz w:val="32"/>
          <w:szCs w:val="32"/>
        </w:rPr>
        <w:t>查新报告、</w:t>
      </w:r>
      <w:r>
        <w:rPr>
          <w:rFonts w:hint="default" w:ascii="Times New Roman" w:hAnsi="Times New Roman" w:eastAsia="仿宋_GB2312"/>
          <w:kern w:val="0"/>
          <w:sz w:val="32"/>
          <w:szCs w:val="32"/>
        </w:rPr>
        <w:t>申请者</w:t>
      </w:r>
      <w:r>
        <w:rPr>
          <w:rFonts w:ascii="Times New Roman" w:hAnsi="Times New Roman" w:eastAsia="仿宋_GB2312"/>
          <w:sz w:val="32"/>
          <w:szCs w:val="32"/>
        </w:rPr>
        <w:t>身份证复印件、学位证书、职称评聘证书、发表论文复印件等</w:t>
      </w:r>
      <w:r>
        <w:rPr>
          <w:rFonts w:ascii="Times New Roman" w:hAnsi="Times New Roman" w:eastAsia="仿宋_GB2312"/>
          <w:kern w:val="0"/>
          <w:sz w:val="32"/>
          <w:szCs w:val="32"/>
        </w:rPr>
        <w:t>。以上资料用A4纸张复印，左侧胶装成册。</w:t>
      </w:r>
    </w:p>
    <w:p>
      <w:pPr>
        <w:adjustRightInd w:val="0"/>
        <w:snapToGrid w:val="0"/>
        <w:spacing w:line="600" w:lineRule="exact"/>
        <w:ind w:firstLine="640" w:firstLineChars="200"/>
      </w:pPr>
      <w:r>
        <w:rPr>
          <w:rFonts w:hint="default" w:ascii="Times New Roman" w:hAnsi="Times New Roman" w:eastAsia="仿宋_GB2312"/>
          <w:kern w:val="0"/>
          <w:sz w:val="32"/>
          <w:szCs w:val="32"/>
        </w:rPr>
        <w:t>（二）</w:t>
      </w:r>
      <w:r>
        <w:rPr>
          <w:rFonts w:hint="default" w:ascii="Times New Roman" w:hAnsi="Times New Roman" w:eastAsia="仿宋_GB2312"/>
          <w:sz w:val="32"/>
          <w:szCs w:val="32"/>
        </w:rPr>
        <w:t>各推荐单位负责对本单位或所辖医疗卫生单位申报的项目按规定申报数进行筛选汇总，</w:t>
      </w:r>
      <w:r>
        <w:rPr>
          <w:rFonts w:hint="default" w:ascii="Times New Roman" w:hAnsi="Times New Roman" w:eastAsia="仿宋_GB2312"/>
          <w:kern w:val="0"/>
          <w:sz w:val="32"/>
          <w:szCs w:val="32"/>
        </w:rPr>
        <w:t>并将单位推荐函、项目</w:t>
      </w:r>
      <w:r>
        <w:rPr>
          <w:rFonts w:ascii="Times New Roman" w:hAnsi="Times New Roman" w:eastAsia="仿宋_GB2312"/>
          <w:kern w:val="0"/>
          <w:sz w:val="32"/>
          <w:szCs w:val="32"/>
        </w:rPr>
        <w:t>申报汇总表</w:t>
      </w:r>
      <w:r>
        <w:rPr>
          <w:rFonts w:hint="default" w:ascii="Times New Roman" w:hAnsi="Times New Roman" w:eastAsia="仿宋_GB2312"/>
          <w:kern w:val="0"/>
          <w:sz w:val="32"/>
          <w:szCs w:val="32"/>
        </w:rPr>
        <w:t>报送委科教处，汇总表</w:t>
      </w:r>
      <w:r>
        <w:rPr>
          <w:rFonts w:ascii="Times New Roman" w:hAnsi="Times New Roman" w:eastAsia="仿宋_GB2312"/>
          <w:kern w:val="0"/>
          <w:sz w:val="32"/>
          <w:szCs w:val="32"/>
        </w:rPr>
        <w:t>电子文档发至指定邮箱。</w:t>
      </w:r>
      <w:bookmarkStart w:id="0" w:name="_GoBack"/>
      <w:bookmarkEnd w:id="0"/>
    </w:p>
    <w:sectPr>
      <w:headerReference r:id="rId3" w:type="default"/>
      <w:footerReference r:id="rId5" w:type="default"/>
      <w:headerReference r:id="rId4" w:type="even"/>
      <w:footerReference r:id="rId6" w:type="even"/>
      <w:pgSz w:w="11906" w:h="16838"/>
      <w:pgMar w:top="1985" w:right="1474" w:bottom="1701" w:left="1588" w:header="851" w:footer="1588" w:gutter="0"/>
      <w:pgNumType w:start="9"/>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983" w:wrap="around" w:vAnchor="text" w:hAnchor="page" w:xAlign="outside" w:y="1"/>
      <w:ind w:right="178" w:rightChars="85"/>
      <w:jc w:val="right"/>
      <w:rPr>
        <w:rStyle w:val="6"/>
        <w:rFonts w:hint="eastAsia" w:ascii="Times New Roman" w:hAnsi="Times New Roman"/>
        <w:sz w:val="28"/>
        <w:szCs w:val="28"/>
      </w:rPr>
    </w:pP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11</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159" w:wrap="around" w:vAnchor="text" w:hAnchor="margin" w:xAlign="outside" w:y="1"/>
      <w:ind w:firstLine="179" w:firstLineChars="64"/>
      <w:rPr>
        <w:rStyle w:val="6"/>
        <w:rFonts w:hint="eastAsia" w:ascii="Times New Roman" w:hAnsi="Times New Roman"/>
        <w:sz w:val="28"/>
        <w:szCs w:val="28"/>
      </w:rPr>
    </w:pP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10</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2141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uiPriority w:val="0"/>
    <w:rPr>
      <w:szCs w:val="20"/>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_Style 1"/>
    <w:basedOn w:val="1"/>
    <w:link w:val="4"/>
    <w:qFormat/>
    <w:uiPriority w:val="0"/>
    <w:pPr>
      <w:widowControl/>
      <w:spacing w:after="160" w:line="240" w:lineRule="exact"/>
      <w:jc w:val="left"/>
    </w:pPr>
    <w:rPr>
      <w:szCs w:val="20"/>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2018-12-11T01:39:50Z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