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福建省2018年中医和中西医结合医院评价标准</w:t>
      </w:r>
    </w:p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说明：</w:t>
      </w:r>
    </w:p>
    <w:p>
      <w:pPr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适用范围：本评价标准适用于二级、三级中医医院和中西医结合医院。</w:t>
      </w:r>
    </w:p>
    <w:p>
      <w:pPr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评价结果分档：评价标准总计分值300分，各指标只在指标分值范围内扣分，扣完为止，不倒扣分。评价总得分≥255为“优秀”；225≤总得分＜255为“良好”；195≤总得分＜225分为“合格”；总得分＜195分为“不合格”。</w:t>
      </w:r>
    </w:p>
    <w:p>
      <w:pPr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评价结果应用：（1）前后两次等级评审之间的年度评价得分（以各年度平均得分计算）计入其中后面一次的等级评审得分，分值占评审得分的30%。（2）省属公立中医医院（含福建中医药大学附属康复医院）2018年度评价结果将作为“省属医院医疗质量综合评价情况”的考核结果，纳入省属公立医院院长2018年度绩效考核。当年已评审的省人民医院、省第二人民医院不再组织评价，评价得分按照评审细则第一部分第二</w:t>
      </w:r>
      <w:r>
        <w:rPr>
          <w:rFonts w:eastAsia="仿宋_GB2312"/>
          <w:sz w:val="32"/>
          <w:szCs w:val="32"/>
        </w:rPr>
        <w:t>~</w:t>
      </w:r>
      <w:r>
        <w:rPr>
          <w:rFonts w:hint="eastAsia" w:eastAsia="仿宋_GB2312" w:cs="仿宋_GB2312"/>
          <w:sz w:val="32"/>
          <w:szCs w:val="32"/>
        </w:rPr>
        <w:t>四章、第二部分第三</w:t>
      </w:r>
      <w:r>
        <w:rPr>
          <w:rFonts w:eastAsia="仿宋_GB2312"/>
          <w:sz w:val="32"/>
          <w:szCs w:val="32"/>
        </w:rPr>
        <w:t>~</w:t>
      </w:r>
      <w:r>
        <w:rPr>
          <w:rFonts w:hint="eastAsia" w:eastAsia="仿宋_GB2312" w:cs="仿宋_GB2312"/>
          <w:sz w:val="32"/>
          <w:szCs w:val="32"/>
        </w:rPr>
        <w:t>五章的评审得分进行折算。</w:t>
      </w:r>
    </w:p>
    <w:p>
      <w:pPr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</w:p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 落实医疗质量安全核心制度，保障医疗安全（100分）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780" w:type="dxa"/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 医院贯彻《医疗质量安全核心制度要点》，细化并落实18项核心制度，保障医疗安全。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1.1.1 医院制定并细化本机构18项医疗质量安全核心制度；对全体医务人员开展培训、教育、考核，全体医务人员掌握并遵循18项核心制度。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1.1.2 落实院、科两级质量管理责任体系，定期对院、科两级医疗质量安全核心制度执行情况进行督导检查（每季度至少1次）并制定整改方案，方案针对性强、切实可行。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1.1.3 医院将18项核心制度执行情况纳入医师和科室的绩效考核、职称评聘、评先评优等，执行有力、落实到位、成效显著。医院撰写本机构医疗质量安全报告（每年1-2次），并运用报告开展质量管理活动，持续改进成效显著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，未制定本机构18项核心制度，不得分；制定的核心制度内容不全面、不准确每项扣0.5-1分；未进行培训、教育、考核，扣2-3分；现场访谈1名医生和1名护士，不知晓核心制度，每人扣1分；掌握不全面，酌情扣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查阅相关资料，未建立院、科两级质量管理责任体系，不得分；落实不到位，酌情扣分；未定期对医疗质量安全核心制度执行情况进行督导检查，扣1分；未制定整改方案，扣0.5分。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查阅相关资料。未纳入绩效考核、职称评聘、评先评优等，不得分；落实不到位，酌情扣分。无医疗质量安全报告，扣0.5分；持续改进无成效或成效不明显，酌情扣分。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 落实医疗质量安全核心制度，保障医疗安全（100分）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80" w:type="dxa"/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1.2 医院执行医疗质量安全核心制度，各部门职责和各级各类医务人员岗位职责清晰，落实到位。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1.3</w:t>
            </w:r>
            <w:r>
              <w:rPr>
                <w:rFonts w:hint="eastAsia" w:ascii="宋体" w:hAnsi="宋体" w:cs="宋体"/>
                <w:szCs w:val="21"/>
              </w:rPr>
              <w:t xml:space="preserve"> 临床用血管理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1.3.1 </w:t>
            </w:r>
            <w:r>
              <w:rPr>
                <w:rFonts w:hint="eastAsia" w:ascii="宋体" w:hAnsi="宋体" w:cs="宋体"/>
                <w:kern w:val="0"/>
                <w:szCs w:val="21"/>
              </w:rPr>
              <w:t>落实《中华人民共和国献血法》、《医疗机构临床用血管理办法》和《临床输血技术规范》等有关法律和规范，制定临床输血管理相关制度和实施细则，内容涵盖本机构输血管理的全过</w:t>
            </w:r>
            <w:r>
              <w:rPr>
                <w:rFonts w:hint="eastAsia" w:ascii="宋体" w:hAnsi="宋体" w:cs="宋体"/>
                <w:szCs w:val="21"/>
              </w:rPr>
              <w:t>程。对医务人员进行临床输血相关法律、法规、规章制度</w:t>
            </w:r>
            <w:r>
              <w:rPr>
                <w:rFonts w:hint="eastAsia" w:ascii="宋体" w:hAnsi="宋体" w:cs="宋体"/>
                <w:kern w:val="0"/>
                <w:szCs w:val="21"/>
              </w:rPr>
              <w:t>以及输血知识的教</w:t>
            </w:r>
            <w:r>
              <w:rPr>
                <w:rFonts w:hint="eastAsia" w:ascii="宋体" w:hAnsi="宋体" w:cs="宋体"/>
                <w:szCs w:val="21"/>
              </w:rPr>
              <w:t>育与培训（每年至少一次）。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1.3.2 建立临床科室和医师临床用血合理评价和公示制度。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1.3.3 执</w:t>
            </w:r>
            <w:r>
              <w:rPr>
                <w:rFonts w:hint="eastAsia" w:ascii="宋体" w:hAnsi="宋体" w:cs="宋体"/>
                <w:kern w:val="0"/>
                <w:szCs w:val="21"/>
              </w:rPr>
              <w:t>行输血前相关检测规定，输血前向患者及其近亲属告知输血的目的和风险，并签署“输血治疗知情同意书”。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抽查运行病历10份（术科、非术科各5份）。查阅相关资料并现场查看。发现1项医疗质量安全核心制度未落实扣5分；落实不到位，酌情扣分（每项至少扣0.5分）。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二级医院无输血病历的，可只检查1.3.1,其余2项分值予以折算（第一部分得分=实际检查得分/93*100）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查阅相关资料，无相关制度和实施细则，不得分；内容未涵盖全过程，扣0.5分；未对医务人员进行相关培训，扣2分。医务人员对输血的相关制度、技术规范不熟悉，酌情扣0.5-1分。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查看资料，未定期进行用血合理评价及公示，不得分。抽查3份运行或归档的输血病历，存在不合理用血，不得分。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抽查3份运行或归档的输血病历，未进行血型及感染筛查（肝功能、乙肝五项、HCV、HIV、梅毒抗体）的相关检测，每份扣0.5分；未签署“输血治疗知情同意书”，每份扣2分。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 落实医疗质量安全核心制度，保障医疗安全（100分）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780" w:type="dxa"/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 医疗技术管理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1.4.1 </w:t>
            </w:r>
            <w:r>
              <w:rPr>
                <w:rFonts w:hint="eastAsia" w:ascii="宋体" w:hAnsi="宋体" w:cs="宋体"/>
                <w:kern w:val="0"/>
                <w:szCs w:val="21"/>
              </w:rPr>
              <w:t>依据法律法规开展医疗技术服务，有指定部门负责医疗技术管理工作，有完整的管理资料，有统一的审批、管理流程。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1.4.2 </w:t>
            </w:r>
            <w:r>
              <w:rPr>
                <w:rFonts w:hint="eastAsia" w:ascii="宋体" w:hAnsi="宋体" w:cs="宋体"/>
                <w:kern w:val="0"/>
                <w:szCs w:val="21"/>
              </w:rPr>
              <w:t>有医疗技术管理制度，医疗技术（现代医疗技术和中医医疗技术）管理符合国家相关规定与管理办法。落实医学伦理委员会审查制度。不应用未批准或已经废止和淘汰的技术。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1.4.3 制定医疗技术风险预警机制和医疗技术损害处置预案，并组织实施。对新开展医疗技术的安全、质量、疗效、经济性等情况进行全程追踪管理和评价，及时发现并采取相应措施降低医疗技术风险。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1.4.4 建立医院及个人医疗技术管理档案，加强医疗技术目录管理；建立并落实手术分级与准入管理制度。对实施手术、介入、麻醉等高风险技术操作的卫生专业技术人员实行“授权”管理，定期进行技术能力与质量绩效的评价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查阅相关资料，实地考查，并抽查2项医疗技术审批及管理资料。发现违法、违规开展医疗技术，不得分；无指定部门负责，扣1分；管理资料不完整，每项扣0.5分；无统一流程，每项扣0.5分。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，实地考查。无制度，或医疗技术管理不符合国家相关规定与管理办法，不得分；未落实医学伦理委员会审查制度，不得分，工作不规范扣1分；发现应用未经批准或已经废止和淘汰的技术，不得分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查阅相关资料，随机抽查医疗技术、新技术项目各1项。无预警机制和处置预案，不得分。未开展全程追踪管理，或未开展随访评价，扣0.5分；新技术档案资料不完整，扣0.5分。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建立医疗技术档案，或医疗技术目录管理不完善，或未落实手术分级与准入管理，每项扣0.5分；资料不完整，每项扣0.3分。发现越级手术或未经授权擅自开展手术的案例，不得分；无资格许可授权诊疗项目的考评与复评标准，扣1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 加强合理用药、护理、院感等管理，开展社会评议医院（100分）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2.1加强合理用药合理检查、规范处方书写，提高中医病历管理质量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2.1.1 落实处方点评制度，有制度、有执行记录，定期点评，并公布结果，对不合理处方进行干预。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2.1.2抗菌药物使用强度（DDD）≤40；门诊患者抗菌药物使用率≤20%，住院患者抗菌药物使用率≤60%，Ⅰ类切口（手术时间≤2小时）预防性抗菌药物使用率≤30%。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2.1.3 入院记录四诊资料完整，首次病程记录、病程记录体现理法方药一致性，中医方药记录格式及书写符合《中药处方格式及书写规范》要求。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2.1.4辨证使用中成药（含中药注射剂），门诊中成药配伍合理，符合联合用药原则，使用剂量、用法正确。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2.1.5 中药处方格式及书写符合《中药处方格式及书写规范》要求。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查阅资料，内容有缺项、工作不理想的，酌情扣分。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查阅前1年相关资料，并随机抽取前1年的Ⅰ类切口病历10份。每超过1个百分点，每项指标扣0.5分。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抽查近1年20份病历。四诊资料不完整，每份病历酌情扣0.5-1.5分；理法方药不一致，每份病历扣1.5分；中医方药记录格式及书写不符合要求，每份病历扣0.5分。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抽查近1年10份病历，使用中成药无记录、未辨证或辨证不正确，每份病历扣0.5分。 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抽查近1年20张中成药处方。无病名诊断、证候诊断，用药不合理，剂量、用法错误的，每张处方扣0.2分。抽查近1年20张门诊饮片处方，处方格式及书写不符合要求，每张处方扣0.2分。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701" w:type="dxa"/>
            <w:vMerge w:val="restart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 加强合理用药、护理、院感等管理，开展社会评议医院（100分）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2.1.6 执行《医疗机构病历管理规定》、《中医住院病案首页数据填写质量规范》等有关法规、规范要求，设置病案科（室），按规定保存病历资料，建立医院内部病案首页质控指标并组织落实，不断提高中医病案首页书写质量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2.1.7 大型影像设备检查阳性率符合要求。大型X线设备检查阳性率</w:t>
            </w:r>
            <w:r>
              <w:rPr>
                <w:rFonts w:hint="eastAsia" w:ascii="宋体" w:hAnsi="宋体" w:cs="宋体"/>
                <w:szCs w:val="21"/>
              </w:rPr>
              <w:t>≥</w:t>
            </w:r>
            <w:r>
              <w:rPr>
                <w:rFonts w:hint="eastAsia" w:ascii="宋体" w:hAnsi="宋体" w:cs="宋体"/>
                <w:kern w:val="0"/>
                <w:szCs w:val="21"/>
              </w:rPr>
              <w:t>50%，CT、MRI检查阳性率</w:t>
            </w:r>
            <w:r>
              <w:rPr>
                <w:rFonts w:hint="eastAsia" w:ascii="宋体" w:hAnsi="宋体" w:cs="宋体"/>
                <w:szCs w:val="21"/>
              </w:rPr>
              <w:t>≥</w:t>
            </w:r>
            <w:r>
              <w:rPr>
                <w:rFonts w:hint="eastAsia" w:ascii="宋体" w:hAnsi="宋体" w:cs="宋体"/>
                <w:kern w:val="0"/>
                <w:szCs w:val="21"/>
              </w:rPr>
              <w:t>60%。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查阅相关资料。未设置病案科（室）不得分。</w:t>
            </w:r>
            <w:r>
              <w:rPr>
                <w:rFonts w:hint="eastAsia" w:ascii="宋体" w:hAnsi="宋体" w:cs="宋体"/>
                <w:kern w:val="0"/>
                <w:szCs w:val="21"/>
              </w:rPr>
              <w:t>未建立中医病案质量控制体系，不得分。</w:t>
            </w:r>
            <w:r>
              <w:rPr>
                <w:rFonts w:hint="eastAsia" w:ascii="宋体" w:hAnsi="宋体" w:cs="宋体"/>
                <w:szCs w:val="21"/>
              </w:rPr>
              <w:t>抽查近1年10份归档病历（包括手术病历及非手术病历）。</w:t>
            </w:r>
            <w:r>
              <w:rPr>
                <w:rFonts w:hint="eastAsia" w:ascii="宋体" w:hAnsi="宋体" w:cs="宋体"/>
                <w:kern w:val="0"/>
                <w:szCs w:val="21"/>
              </w:rPr>
              <w:t>未开展中医病案首页质控，不得分；首页书写不规范，</w:t>
            </w:r>
            <w:r>
              <w:rPr>
                <w:rFonts w:hint="eastAsia" w:ascii="宋体" w:hAnsi="宋体" w:cs="宋体"/>
                <w:szCs w:val="21"/>
              </w:rPr>
              <w:t xml:space="preserve"> 或与病程记录、医嘱、收费不符合，</w:t>
            </w:r>
            <w:r>
              <w:rPr>
                <w:rFonts w:hint="eastAsia" w:ascii="宋体" w:hAnsi="宋体" w:cs="宋体"/>
                <w:kern w:val="0"/>
                <w:szCs w:val="21"/>
              </w:rPr>
              <w:t>酌情扣分</w:t>
            </w:r>
            <w:r>
              <w:rPr>
                <w:rFonts w:hint="eastAsia" w:ascii="宋体" w:hAnsi="宋体" w:cs="宋体"/>
                <w:szCs w:val="21"/>
              </w:rPr>
              <w:t>（至少扣0.5分）。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查阅前1年相关资料，</w:t>
            </w:r>
            <w:r>
              <w:rPr>
                <w:rFonts w:hint="eastAsia" w:ascii="宋体" w:hAnsi="宋体" w:cs="宋体"/>
                <w:kern w:val="0"/>
                <w:szCs w:val="21"/>
              </w:rPr>
              <w:t>每项降低1个百分点，扣0.2分。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  <w:jc w:val="center"/>
        </w:trPr>
        <w:tc>
          <w:tcPr>
            <w:tcW w:w="1701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 医院感染管理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2.2.1 医院感染专职人员和监测设施配备符合要求，开展目标性监测、全院综合性监测。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2.2.2 开展重点环节、重点人群与高危险因素的监测。重点部门（手术室、ICU、产房等）分区、布局符合院感要求。对下呼吸道、手术部位、导尿管相关尿路、血管导管相关血流等主要部位感染有具体预防控制措施并实施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2.2.3 学习并落实《中医医疗技术相关性感染预防与控制指南（试行）》，进一步规范中医医疗技术操作，预防和控制中医医疗技术相关性感染事件的发生。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查阅相关资料。专职人员或监测设施配备不符合规定，扣1分；医院感染监测不符合要求，扣0.5分；无监测记录与分析报告，扣0.5分。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查阅相关资料，并随机抽查1个重点部门和1个重点部位。未实施监测，不得分；对感染较高风险的科室未制定针对性的控制措施，扣1分；未制定主要部位院感预防控制措施并实施，每处扣0.5分。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查阅相关资料及现场查看，未开展预防与控制中医医疗技术相关性感染的知识及技能培训，扣2分。现场走访针灸科、推拿科等科室，不符合医院感染管理要求，发现一起扣1分。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701" w:type="dxa"/>
            <w:vMerge w:val="restart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 加强合理用药、护理、院感等管理，开展社会评议医院（100分）</w:t>
            </w: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2.3优质护理服务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2.3.1 病房护理人员与病区实际床位数比例达到0.4:1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2.3.2 推广优质护理服务工作，落实责任制整体护理，加强以护理内涵建设为核心的优质护理服务。</w:t>
            </w:r>
          </w:p>
        </w:tc>
        <w:tc>
          <w:tcPr>
            <w:tcW w:w="4470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查阅人事档案并实地考查1个病区近3个月护理人员排班表，比例不达标，不得分。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病房开展优质护理服务比例，三级医院未达100%，二级医院未达50%，每低5%，扣1分。</w:t>
            </w:r>
          </w:p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  <w:jc w:val="center"/>
        </w:trPr>
        <w:tc>
          <w:tcPr>
            <w:tcW w:w="1701" w:type="dxa"/>
            <w:vMerge w:val="continue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2.4.医院定期收集院内、外对医院服务的意见和建议，开展社会评议医院。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2.4.1 有定期收集院内、外对医院服务意见和建议的相关制度和多种渠道。有指定部门负责本项工作，职责明确。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2.4.2 医院对所收集的意见和建议进行分析和反馈，有持续改进措施并得到落实，持续改进有成效。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2.4.3 在2018年全省医院满意度调查中社会评议满意度应达到85%以上，且未被诫勉谈话或黄牌警告。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查阅相关资料。未定期收集院内、外对医院服务意见和建议的相关制度和多种渠道，不得分；未有指定部门负责，不得分。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查阅相关资料。未对收集的意见和建议进行分析和反馈，不得分；未有持续改进措施，酌情扣分。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根据省卫生计生委委托开展的第三方调查结果进行评分。满意率＜85%，但≥75%的，每低1个百分点扣1.5分；＜75%的不得分。有被诫勉谈话或黄牌警告，不得分。</w:t>
            </w:r>
          </w:p>
        </w:tc>
        <w:tc>
          <w:tcPr>
            <w:tcW w:w="2025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2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/>
    <w:tbl>
      <w:tblPr>
        <w:tblStyle w:val="6"/>
        <w:tblW w:w="14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6"/>
        <w:gridCol w:w="3780"/>
        <w:gridCol w:w="4470"/>
        <w:gridCol w:w="2025"/>
        <w:gridCol w:w="87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  目</w:t>
            </w:r>
          </w:p>
        </w:tc>
        <w:tc>
          <w:tcPr>
            <w:tcW w:w="6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分值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  价  要  点</w:t>
            </w:r>
          </w:p>
        </w:tc>
        <w:tc>
          <w:tcPr>
            <w:tcW w:w="44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  查  方  法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扣分理由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扣分</w:t>
            </w:r>
          </w:p>
        </w:tc>
        <w:tc>
          <w:tcPr>
            <w:tcW w:w="7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701" w:type="dxa"/>
            <w:vMerge w:val="restart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三、保持和发挥中医药特色优势（100分）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三、保持和发挥中医药特色优势（100分）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46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 实施中医诊疗方案和临床路径，发挥中医药特色优势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3.1.1 在国家中医药管理局印发的中医诊疗方案基础上，结合本院实际制定科室优势病种诊疗方案并组织实施（每个科室至少选择3个）。（注：1.二级医院病种数为2个以上，扣分标准与之相应；2.中西医结合医院为中西医结合优势病种的中西医结合诊疗方案）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3.1.2 医师掌握本专科诊疗方案。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3.1.3 诊疗方案在临床中得到应用。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3.1.4 每年对诊疗方案实施情况及中医优势病种的中医疗效进行分析、总结及评估，优化诊疗方案。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3.1.5 开展常见病、多发病临床路径和中医优势病种中医临床路径管理工作，</w:t>
            </w:r>
            <w:r>
              <w:rPr>
                <w:rFonts w:hint="eastAsia" w:ascii="宋体" w:hAnsi="宋体" w:cs="宋体"/>
                <w:kern w:val="0"/>
                <w:szCs w:val="21"/>
              </w:rPr>
              <w:t>开设病房的科室，每科室实行中医临床路径管理的病种数不少于2个，或医院实行中医临床路径管理的病种数≥30种（二级医院≥20种），</w:t>
            </w:r>
            <w:r>
              <w:rPr>
                <w:rFonts w:hint="eastAsia" w:ascii="宋体" w:hAnsi="宋体" w:cs="宋体"/>
                <w:szCs w:val="21"/>
              </w:rPr>
              <w:t>临床路径在临床中得到应用。其中重点专科路径管理病种年度出院病人临床路径管理比例≥50%，完成率≥70%。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以下抽查2个临床科室（近1年资料），其中1个为重点专科，另一个为非重点专科：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中医诊疗方案，不得分；低于3个病种诊疗方案，每少一个病种，扣1.5分；中医诊疗方案未与本院实际结合，每个病种扣1.5分；诊疗方案基本要素（中西医病名、诊断、中医药综合治疗方法、疗效评价等）不全，每少1个要素，每个病种扣0.5分；未组织实施，扣2分；组织不到位，或缺少原始资料，酌情扣分（至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访谈2个科室各3名中医类别执业医师（初、中、高级职称各1名，且含科室负责人1名）。每人访谈1个优势病种。科室负责人未掌握本科优势病种诊疗方案，扣2分；其他医师未掌握，每人扣1分；掌握不全面，酌情扣分（每人至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抽查2个科室各6份病历（至少有3个病种）。未执行本科诊疗方案，每份病历扣2分；部分执行，酌情扣分（至少扣0.5分）。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上年度资料，未对中医优势病种的疗效与特色进行定期分析、总结和评估，每个病种扣2分，总结、分析、评估不到位，酌情扣分（每个病种最少扣0.5分）；未对诊疗方案进行优化，每个病种扣1分；优化不符合要求，酌情扣分（每个病种最少扣0.5分）。</w:t>
            </w:r>
          </w:p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阅相关资料，并随机从医院提供的实行中医临床路径管理的科室清单中抽查2个科室的相关资料。未开展中医临床路径管理，不得分；病种数不符合要求，扣3分；未制定中医临床路径实施方案，扣3分；方案未落实，扣2分；抽查3份运行或归档病历，未执行临床路径，每份病历扣2分；无临床路径表单，每份病历扣1分。重点专科路径管理病种临床路径管理比例&lt;50%，或完成率&lt;70%，酌情扣分（最多扣2分）；未提供有效证据的原始资料，扣1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01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780" w:type="dxa"/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 门诊处方中，中药（饮片、中成药、医院制剂）处方比例，中医医院、中医专科医院≥60%，中西医结合医院≥40%。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实地检查与医院统计结果差异较大（相差±10%以上），不得分</w:t>
            </w:r>
            <w:r>
              <w:rPr>
                <w:rFonts w:hint="eastAsia" w:ascii="宋体" w:hAnsi="宋体" w:cs="宋体"/>
                <w:szCs w:val="21"/>
              </w:rPr>
              <w:t>；每低于标准1个百分点，扣1分。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701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78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3.3中药饮片处方占门诊处方总数的比例，中医医院≥30%，中西医结合医院≥20%；中医专科医院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中药饮片和医疗机构中药制剂处方占门诊处方总数的比例≥40%（</w:t>
            </w:r>
            <w:r>
              <w:rPr>
                <w:rFonts w:hint="eastAsia" w:ascii="宋体" w:hAnsi="宋体" w:cs="宋体"/>
                <w:szCs w:val="21"/>
              </w:rPr>
              <w:t>针灸、推拿或按摩、康复医院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中药饮片处方占门诊处方总数的比例≥20%）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4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实地检查与医院统计结果差异较大（相差±10%以上），不得分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每低于标准1个百分点，扣1分。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701" w:type="dxa"/>
            <w:vMerge w:val="restart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三、保持和发挥中医药特色优势（100分）</w:t>
            </w:r>
          </w:p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8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 采用非药物中医技术治疗人次占医院门诊总人次的比例，中医医院≥10%，中西医结合医院≥8%。（针灸、推拿或按摩、康复医院采用非药物中医技术诊疗人次占医院门诊总人次的比例≥70%）。</w:t>
            </w:r>
          </w:p>
        </w:tc>
        <w:tc>
          <w:tcPr>
            <w:tcW w:w="44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每低于标准1个百分点，扣1分（针灸、推拿或按摩、康复医院扣2分）。</w:t>
            </w:r>
            <w:r>
              <w:rPr>
                <w:rFonts w:hint="eastAsia" w:ascii="宋体" w:hAnsi="宋体" w:cs="宋体"/>
                <w:kern w:val="0"/>
                <w:szCs w:val="21"/>
              </w:rPr>
              <w:t>抽查结果与医院统计差异较大（相差±10%以上），扣2分（针灸、推拿或按摩、康复医院扣5分）。</w:t>
            </w:r>
          </w:p>
        </w:tc>
        <w:tc>
          <w:tcPr>
            <w:tcW w:w="202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701" w:type="dxa"/>
            <w:vMerge w:val="continue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78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3.5设立中医综合治疗室的科室数比例，三级中医医院不低于开设病房的临床科室总数的60%，中西医结合医院及二级中医医院不低于50%。门诊设立中医综合治疗区。中医综合治疗室（区）建设符合相关要求。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查阅相关资料和年度统计报表，并实地考查40%的科室。</w:t>
            </w:r>
            <w:r>
              <w:rPr>
                <w:rFonts w:hint="eastAsia" w:ascii="宋体" w:hAnsi="宋体" w:cs="宋体"/>
                <w:kern w:val="0"/>
                <w:szCs w:val="21"/>
              </w:rPr>
              <w:t>设立中医综合治疗室的科室数低于开设病房的临床科室总数的60%，或门诊未设立中医综合治疗区，不得分；有中医综合治疗室，但未开展中医综合治疗工作，或无工作记录，每科扣1分；中医综合治疗区（室）建设不符合相关要求，扣0.5分。</w:t>
            </w:r>
          </w:p>
        </w:tc>
        <w:tc>
          <w:tcPr>
            <w:tcW w:w="202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三、保持和发挥中医药特色优势（100分）</w:t>
            </w:r>
          </w:p>
        </w:tc>
        <w:tc>
          <w:tcPr>
            <w:tcW w:w="676" w:type="dxa"/>
            <w:vAlign w:val="top"/>
          </w:tcPr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3.6加强中医师队伍建设</w:t>
            </w:r>
          </w:p>
          <w:p>
            <w:pPr>
              <w:spacing w:line="3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3.6.1中医类别执业医师（含执业助理医师）占执业医师总数的比例≥60％；低于60%的，临床科室（口腔科、麻醉科除外）不得招聘非中医类别执业医师。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3.6.2 中医类别执业医师基础理论扎实，熟练掌握常用方剂。</w:t>
            </w:r>
          </w:p>
        </w:tc>
        <w:tc>
          <w:tcPr>
            <w:tcW w:w="44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查阅材料，＜60%的，每低1个百分点，扣1分；＜60%的，若2017年临床科室仍招聘非中医类别医师，加扣3分。（注：中西医结合医院可按等级评审规定，将其他中西医结合人员计算在内）</w:t>
            </w:r>
          </w:p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三级医院抽查20人，二级医院抽查10人，具体考察内容及评分标准另外制定（省属二级医院由省卫计委制定，设区市二级医院由市卫计委自行制定）。评价得分以被抽查人员的平均得分折算。</w:t>
            </w:r>
          </w:p>
        </w:tc>
        <w:tc>
          <w:tcPr>
            <w:tcW w:w="202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总  分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评价得分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440" w:bottom="1134" w:left="1440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3771900</wp:posOffset>
              </wp:positionH>
              <wp:positionV relativeFrom="paragraph">
                <wp:posOffset>-36195</wp:posOffset>
              </wp:positionV>
              <wp:extent cx="11430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pt;margin-top:-2.85pt;height:18.15pt;width:90pt;mso-position-horizontal-relative:margin;z-index:251658240;mso-width-relative:page;mso-height-relative:page;" filled="f" stroked="f" coordsize="21600,21600" o:gfxdata="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RqR&#10;HdcAAAAJAQAADwAAAAAAAAABACAAAAAiAAAAZHJzL2Rvd25yZXYueG1sUEsBAhQAFAAAAAgAh07i&#10;QJzPT6WxAQAARwMAAA4AAAAAAAAAAQAgAAAAJg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93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2018-11-27T02:56:38Z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