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b/>
          <w:bCs/>
          <w:color w:val="auto"/>
          <w:sz w:val="72"/>
          <w:szCs w:val="72"/>
          <w:highlight w:val="none"/>
        </w:rPr>
      </w:pPr>
    </w:p>
    <w:p>
      <w:pPr>
        <w:pStyle w:val="38"/>
        <w:pageBreakBefore w:val="0"/>
        <w:kinsoku/>
        <w:overflowPunct/>
        <w:bidi w:val="0"/>
        <w:spacing w:line="360" w:lineRule="auto"/>
        <w:rPr>
          <w:rFonts w:hint="eastAsia"/>
          <w:highlight w:val="none"/>
        </w:rPr>
      </w:pPr>
    </w:p>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b/>
          <w:bCs/>
          <w:color w:val="auto"/>
          <w:sz w:val="84"/>
          <w:highlight w:val="none"/>
        </w:rPr>
      </w:pPr>
    </w:p>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b/>
          <w:bCs/>
          <w:color w:val="auto"/>
          <w:sz w:val="84"/>
          <w:highlight w:val="none"/>
        </w:rPr>
      </w:pPr>
      <w:r>
        <w:rPr>
          <w:rFonts w:hint="eastAsia" w:ascii="宋体" w:hAnsi="宋体" w:eastAsia="宋体" w:cs="宋体"/>
          <w:b/>
          <w:bCs/>
          <w:color w:val="auto"/>
          <w:sz w:val="84"/>
          <w:highlight w:val="none"/>
        </w:rPr>
        <w:t>招 标 文 件</w:t>
      </w:r>
    </w:p>
    <w:p>
      <w:pPr>
        <w:keepNext w:val="0"/>
        <w:keepLines w:val="0"/>
        <w:pageBreakBefore w:val="0"/>
        <w:kinsoku/>
        <w:overflowPunct/>
        <w:autoSpaceDE/>
        <w:autoSpaceDN/>
        <w:bidi w:val="0"/>
        <w:spacing w:line="360" w:lineRule="auto"/>
        <w:ind w:firstLine="1946" w:firstLineChars="646"/>
        <w:textAlignment w:val="auto"/>
        <w:outlineLvl w:val="9"/>
        <w:rPr>
          <w:rFonts w:hint="eastAsia" w:ascii="宋体" w:hAnsi="宋体" w:eastAsia="宋体" w:cs="宋体"/>
          <w:b/>
          <w:color w:val="auto"/>
          <w:sz w:val="30"/>
          <w:szCs w:val="30"/>
          <w:highlight w:val="none"/>
        </w:rPr>
      </w:pPr>
    </w:p>
    <w:p>
      <w:pPr>
        <w:keepNext w:val="0"/>
        <w:keepLines w:val="0"/>
        <w:pageBreakBefore w:val="0"/>
        <w:kinsoku/>
        <w:overflowPunct/>
        <w:autoSpaceDE/>
        <w:autoSpaceDN/>
        <w:bidi w:val="0"/>
        <w:spacing w:line="360" w:lineRule="auto"/>
        <w:ind w:firstLine="1946" w:firstLineChars="646"/>
        <w:textAlignment w:val="auto"/>
        <w:outlineLvl w:val="9"/>
        <w:rPr>
          <w:rFonts w:hint="eastAsia" w:ascii="宋体" w:hAnsi="宋体" w:eastAsia="宋体" w:cs="宋体"/>
          <w:b/>
          <w:color w:val="auto"/>
          <w:sz w:val="30"/>
          <w:szCs w:val="30"/>
          <w:highlight w:val="none"/>
        </w:rPr>
      </w:pPr>
    </w:p>
    <w:p>
      <w:pPr>
        <w:keepNext w:val="0"/>
        <w:keepLines w:val="0"/>
        <w:pageBreakBefore w:val="0"/>
        <w:kinsoku/>
        <w:overflowPunct/>
        <w:autoSpaceDE/>
        <w:autoSpaceDN/>
        <w:bidi w:val="0"/>
        <w:spacing w:line="360" w:lineRule="auto"/>
        <w:ind w:firstLine="1946" w:firstLineChars="646"/>
        <w:textAlignment w:val="auto"/>
        <w:outlineLvl w:val="9"/>
        <w:rPr>
          <w:rFonts w:hint="eastAsia" w:ascii="宋体" w:hAnsi="宋体" w:eastAsia="宋体" w:cs="宋体"/>
          <w:b/>
          <w:color w:val="auto"/>
          <w:sz w:val="30"/>
          <w:szCs w:val="30"/>
          <w:highlight w:val="none"/>
        </w:rPr>
      </w:pPr>
    </w:p>
    <w:p>
      <w:pPr>
        <w:keepNext w:val="0"/>
        <w:keepLines w:val="0"/>
        <w:pageBreakBefore w:val="0"/>
        <w:kinsoku/>
        <w:overflowPunct/>
        <w:autoSpaceDE/>
        <w:autoSpaceDN/>
        <w:bidi w:val="0"/>
        <w:spacing w:line="360" w:lineRule="auto"/>
        <w:ind w:firstLine="1946" w:firstLineChars="646"/>
        <w:textAlignment w:val="auto"/>
        <w:outlineLvl w:val="9"/>
        <w:rPr>
          <w:rFonts w:hint="eastAsia" w:ascii="宋体" w:hAnsi="宋体" w:eastAsia="宋体" w:cs="宋体"/>
          <w:b/>
          <w:color w:val="auto"/>
          <w:sz w:val="30"/>
          <w:szCs w:val="30"/>
          <w:highlight w:val="none"/>
        </w:rPr>
      </w:pP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招标编号：FJTH-6020200426</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项目名称：福建省</w:t>
      </w:r>
      <w:r>
        <w:rPr>
          <w:rFonts w:hint="eastAsia" w:ascii="宋体" w:hAnsi="宋体" w:cs="宋体"/>
          <w:b/>
          <w:color w:val="auto"/>
          <w:sz w:val="30"/>
          <w:szCs w:val="30"/>
          <w:highlight w:val="none"/>
          <w:lang w:eastAsia="zh-CN"/>
        </w:rPr>
        <w:t>部分卫生院</w:t>
      </w:r>
      <w:r>
        <w:rPr>
          <w:rFonts w:hint="eastAsia" w:ascii="宋体" w:hAnsi="宋体" w:eastAsia="宋体" w:cs="宋体"/>
          <w:b/>
          <w:color w:val="auto"/>
          <w:sz w:val="30"/>
          <w:szCs w:val="30"/>
          <w:highlight w:val="none"/>
        </w:rPr>
        <w:t>新冠肺炎</w:t>
      </w:r>
      <w:r>
        <w:rPr>
          <w:rFonts w:hint="eastAsia" w:ascii="宋体" w:hAnsi="宋体" w:cs="宋体"/>
          <w:b/>
          <w:color w:val="auto"/>
          <w:sz w:val="30"/>
          <w:szCs w:val="30"/>
          <w:highlight w:val="none"/>
          <w:lang w:eastAsia="zh-CN"/>
        </w:rPr>
        <w:t>疫情</w:t>
      </w:r>
      <w:r>
        <w:rPr>
          <w:rFonts w:hint="eastAsia" w:ascii="宋体" w:hAnsi="宋体" w:eastAsia="宋体" w:cs="宋体"/>
          <w:b/>
          <w:color w:val="auto"/>
          <w:sz w:val="30"/>
          <w:szCs w:val="30"/>
          <w:highlight w:val="none"/>
        </w:rPr>
        <w:t>防治</w:t>
      </w:r>
      <w:r>
        <w:rPr>
          <w:rFonts w:hint="eastAsia" w:ascii="宋体" w:hAnsi="宋体" w:cs="宋体"/>
          <w:b/>
          <w:color w:val="auto"/>
          <w:sz w:val="30"/>
          <w:szCs w:val="30"/>
          <w:highlight w:val="none"/>
          <w:lang w:eastAsia="zh-CN"/>
        </w:rPr>
        <w:t>转运</w:t>
      </w:r>
      <w:r>
        <w:rPr>
          <w:rFonts w:hint="eastAsia" w:ascii="宋体" w:hAnsi="宋体" w:eastAsia="宋体" w:cs="宋体"/>
          <w:b/>
          <w:color w:val="auto"/>
          <w:sz w:val="30"/>
          <w:szCs w:val="30"/>
          <w:highlight w:val="none"/>
        </w:rPr>
        <w:t>救护车采购项目</w:t>
      </w:r>
    </w:p>
    <w:p>
      <w:pPr>
        <w:pStyle w:val="19"/>
        <w:keepNext w:val="0"/>
        <w:keepLines w:val="0"/>
        <w:pageBreakBefore w:val="0"/>
        <w:kinsoku/>
        <w:overflowPunct/>
        <w:autoSpaceDE/>
        <w:autoSpaceDN/>
        <w:bidi w:val="0"/>
        <w:spacing w:line="360" w:lineRule="auto"/>
        <w:ind w:left="3426" w:leftChars="920" w:hanging="1494" w:hangingChars="496"/>
        <w:textAlignment w:val="auto"/>
        <w:outlineLvl w:val="9"/>
        <w:rPr>
          <w:rFonts w:hint="eastAsia" w:ascii="宋体" w:hAnsi="宋体" w:eastAsia="宋体" w:cs="宋体"/>
          <w:b/>
          <w:color w:val="auto"/>
          <w:sz w:val="30"/>
          <w:szCs w:val="30"/>
          <w:highlight w:val="none"/>
        </w:rPr>
      </w:pPr>
    </w:p>
    <w:p>
      <w:pPr>
        <w:pStyle w:val="19"/>
        <w:keepNext w:val="0"/>
        <w:keepLines w:val="0"/>
        <w:pageBreakBefore w:val="0"/>
        <w:kinsoku/>
        <w:overflowPunct/>
        <w:autoSpaceDE/>
        <w:autoSpaceDN/>
        <w:bidi w:val="0"/>
        <w:spacing w:line="360" w:lineRule="auto"/>
        <w:ind w:left="3426" w:leftChars="920" w:hanging="1494" w:hangingChars="496"/>
        <w:textAlignment w:val="auto"/>
        <w:outlineLvl w:val="9"/>
        <w:rPr>
          <w:rFonts w:hint="eastAsia" w:ascii="宋体" w:hAnsi="宋体" w:eastAsia="宋体" w:cs="宋体"/>
          <w:b/>
          <w:color w:val="auto"/>
          <w:sz w:val="30"/>
          <w:szCs w:val="30"/>
          <w:highlight w:val="none"/>
        </w:rPr>
      </w:pPr>
    </w:p>
    <w:p>
      <w:pPr>
        <w:pStyle w:val="19"/>
        <w:keepNext w:val="0"/>
        <w:keepLines w:val="0"/>
        <w:pageBreakBefore w:val="0"/>
        <w:kinsoku/>
        <w:overflowPunct/>
        <w:autoSpaceDE/>
        <w:autoSpaceDN/>
        <w:bidi w:val="0"/>
        <w:spacing w:line="360" w:lineRule="auto"/>
        <w:ind w:left="3426" w:leftChars="920" w:hanging="1494" w:hangingChars="496"/>
        <w:textAlignment w:val="auto"/>
        <w:outlineLvl w:val="9"/>
        <w:rPr>
          <w:rFonts w:hint="eastAsia" w:ascii="宋体" w:hAnsi="宋体" w:eastAsia="宋体" w:cs="宋体"/>
          <w:b/>
          <w:color w:val="auto"/>
          <w:sz w:val="30"/>
          <w:szCs w:val="30"/>
          <w:highlight w:val="none"/>
        </w:rPr>
      </w:pPr>
    </w:p>
    <w:p>
      <w:pPr>
        <w:pStyle w:val="19"/>
        <w:keepNext w:val="0"/>
        <w:keepLines w:val="0"/>
        <w:pageBreakBefore w:val="0"/>
        <w:kinsoku/>
        <w:overflowPunct/>
        <w:autoSpaceDE/>
        <w:autoSpaceDN/>
        <w:bidi w:val="0"/>
        <w:spacing w:line="360" w:lineRule="auto"/>
        <w:ind w:left="3426" w:leftChars="920" w:hanging="1494" w:hangingChars="496"/>
        <w:textAlignment w:val="auto"/>
        <w:outlineLvl w:val="9"/>
        <w:rPr>
          <w:rFonts w:hint="eastAsia" w:ascii="宋体" w:hAnsi="宋体" w:eastAsia="宋体" w:cs="宋体"/>
          <w:b/>
          <w:color w:val="auto"/>
          <w:sz w:val="30"/>
          <w:szCs w:val="30"/>
          <w:highlight w:val="none"/>
        </w:rPr>
      </w:pPr>
    </w:p>
    <w:p>
      <w:pPr>
        <w:pStyle w:val="19"/>
        <w:keepNext w:val="0"/>
        <w:keepLines w:val="0"/>
        <w:pageBreakBefore w:val="0"/>
        <w:kinsoku/>
        <w:overflowPunct/>
        <w:autoSpaceDE/>
        <w:autoSpaceDN/>
        <w:bidi w:val="0"/>
        <w:spacing w:line="360" w:lineRule="auto"/>
        <w:ind w:left="3426" w:leftChars="920" w:hanging="1494" w:hangingChars="496"/>
        <w:textAlignment w:val="auto"/>
        <w:outlineLvl w:val="9"/>
        <w:rPr>
          <w:rFonts w:hint="eastAsia" w:ascii="宋体" w:hAnsi="宋体" w:eastAsia="宋体" w:cs="宋体"/>
          <w:b/>
          <w:color w:val="auto"/>
          <w:sz w:val="30"/>
          <w:szCs w:val="30"/>
          <w:highlight w:val="none"/>
        </w:rPr>
      </w:pPr>
    </w:p>
    <w:p>
      <w:pPr>
        <w:pStyle w:val="19"/>
        <w:keepNext w:val="0"/>
        <w:keepLines w:val="0"/>
        <w:pageBreakBefore w:val="0"/>
        <w:kinsoku/>
        <w:overflowPunct/>
        <w:autoSpaceDE/>
        <w:autoSpaceDN/>
        <w:bidi w:val="0"/>
        <w:spacing w:line="360" w:lineRule="auto"/>
        <w:ind w:left="3426" w:leftChars="920" w:hanging="1494" w:hangingChars="496"/>
        <w:textAlignment w:val="auto"/>
        <w:outlineLvl w:val="9"/>
        <w:rPr>
          <w:rFonts w:hint="eastAsia" w:ascii="宋体" w:hAnsi="宋体" w:eastAsia="宋体" w:cs="宋体"/>
          <w:b/>
          <w:color w:val="auto"/>
          <w:sz w:val="30"/>
          <w:szCs w:val="30"/>
          <w:highlight w:val="none"/>
        </w:rPr>
      </w:pPr>
    </w:p>
    <w:p>
      <w:pPr>
        <w:pStyle w:val="22"/>
        <w:pageBreakBefore w:val="0"/>
        <w:kinsoku/>
        <w:overflowPunct/>
        <w:bidi w:val="0"/>
        <w:spacing w:line="360" w:lineRule="auto"/>
        <w:ind w:left="0" w:leftChars="0" w:firstLine="1258" w:firstLineChars="419"/>
        <w:jc w:val="both"/>
        <w:rPr>
          <w:rFonts w:hint="eastAsia" w:ascii="宋体" w:hAnsi="宋体" w:eastAsia="宋体" w:cs="宋体"/>
          <w:b/>
          <w:bCs/>
          <w:color w:val="auto"/>
          <w:sz w:val="30"/>
          <w:szCs w:val="30"/>
          <w:highlight w:val="none"/>
        </w:rPr>
      </w:pPr>
      <w:r>
        <w:rPr>
          <w:rFonts w:hint="eastAsia" w:ascii="宋体" w:hAnsi="宋体" w:cs="宋体"/>
          <w:b/>
          <w:color w:val="auto"/>
          <w:sz w:val="30"/>
          <w:szCs w:val="30"/>
          <w:highlight w:val="none"/>
          <w:lang w:eastAsia="zh-CN"/>
        </w:rPr>
        <w:t>采购人</w:t>
      </w:r>
      <w:r>
        <w:rPr>
          <w:rFonts w:hint="eastAsia" w:ascii="宋体" w:hAnsi="宋体" w:eastAsia="宋体" w:cs="宋体"/>
          <w:b/>
          <w:color w:val="auto"/>
          <w:sz w:val="30"/>
          <w:szCs w:val="30"/>
          <w:highlight w:val="none"/>
        </w:rPr>
        <w:t>：</w:t>
      </w:r>
      <w:r>
        <w:rPr>
          <w:rFonts w:hint="eastAsia"/>
          <w:b/>
          <w:sz w:val="32"/>
          <w:szCs w:val="32"/>
          <w:highlight w:val="none"/>
        </w:rPr>
        <w:t>福建省卫生健康委员会</w:t>
      </w:r>
      <w:r>
        <w:rPr>
          <w:rFonts w:hint="eastAsia" w:ascii="宋体" w:hAnsi="宋体" w:eastAsia="宋体" w:cs="宋体"/>
          <w:b/>
          <w:bCs/>
          <w:color w:val="auto"/>
          <w:sz w:val="30"/>
          <w:szCs w:val="30"/>
          <w:highlight w:val="none"/>
        </w:rPr>
        <w:t>(盖章)</w:t>
      </w:r>
    </w:p>
    <w:p>
      <w:pPr>
        <w:keepNext w:val="0"/>
        <w:keepLines w:val="0"/>
        <w:pageBreakBefore w:val="0"/>
        <w:kinsoku/>
        <w:overflowPunct/>
        <w:autoSpaceDE/>
        <w:autoSpaceDN/>
        <w:bidi w:val="0"/>
        <w:spacing w:line="360" w:lineRule="auto"/>
        <w:ind w:left="0" w:leftChars="0" w:firstLine="0" w:firstLineChars="0"/>
        <w:jc w:val="center"/>
        <w:textAlignment w:val="auto"/>
        <w:outlineLvl w:val="9"/>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招标代理机构：</w:t>
      </w:r>
      <w:r>
        <w:rPr>
          <w:rFonts w:hint="eastAsia" w:ascii="宋体" w:hAnsi="宋体" w:eastAsia="宋体" w:cs="宋体"/>
          <w:b/>
          <w:color w:val="auto"/>
          <w:sz w:val="30"/>
          <w:szCs w:val="30"/>
          <w:highlight w:val="none"/>
          <w:lang w:eastAsia="zh-CN"/>
        </w:rPr>
        <w:t>福建省天海招标有限公司</w:t>
      </w:r>
      <w:r>
        <w:rPr>
          <w:rFonts w:hint="eastAsia" w:ascii="宋体" w:hAnsi="宋体" w:eastAsia="宋体" w:cs="宋体"/>
          <w:b/>
          <w:bCs/>
          <w:color w:val="auto"/>
          <w:sz w:val="30"/>
          <w:szCs w:val="30"/>
          <w:highlight w:val="none"/>
        </w:rPr>
        <w:t>(盖章)</w:t>
      </w:r>
    </w:p>
    <w:p>
      <w:pPr>
        <w:keepNext w:val="0"/>
        <w:keepLines w:val="0"/>
        <w:pageBreakBefore w:val="0"/>
        <w:kinsoku/>
        <w:overflowPunct/>
        <w:autoSpaceDE/>
        <w:autoSpaceDN/>
        <w:bidi w:val="0"/>
        <w:spacing w:line="360" w:lineRule="auto"/>
        <w:ind w:left="0" w:leftChars="0" w:firstLine="0" w:firstLineChars="0"/>
        <w:jc w:val="center"/>
        <w:textAlignment w:val="auto"/>
        <w:outlineLvl w:val="9"/>
        <w:rPr>
          <w:rFonts w:hint="default"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二O二O年</w:t>
      </w:r>
      <w:r>
        <w:rPr>
          <w:rFonts w:hint="eastAsia" w:ascii="宋体" w:hAnsi="宋体" w:cs="宋体"/>
          <w:b/>
          <w:bCs/>
          <w:color w:val="auto"/>
          <w:sz w:val="30"/>
          <w:szCs w:val="30"/>
          <w:highlight w:val="none"/>
          <w:lang w:val="en-US" w:eastAsia="zh-CN"/>
        </w:rPr>
        <w:t>四</w:t>
      </w:r>
      <w:r>
        <w:rPr>
          <w:rFonts w:hint="eastAsia" w:ascii="宋体" w:hAnsi="宋体" w:eastAsia="宋体" w:cs="宋体"/>
          <w:b/>
          <w:bCs/>
          <w:color w:val="auto"/>
          <w:sz w:val="30"/>
          <w:szCs w:val="30"/>
          <w:highlight w:val="none"/>
          <w:lang w:val="en-US" w:eastAsia="zh-CN"/>
        </w:rPr>
        <w:t>月</w:t>
      </w:r>
    </w:p>
    <w:p>
      <w:pPr>
        <w:pStyle w:val="22"/>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b/>
          <w:bCs/>
          <w:color w:val="auto"/>
          <w:sz w:val="32"/>
          <w:szCs w:val="32"/>
          <w:highlight w:val="none"/>
        </w:rPr>
        <w:sectPr>
          <w:headerReference r:id="rId3" w:type="first"/>
          <w:footerReference r:id="rId6" w:type="first"/>
          <w:footerReference r:id="rId4" w:type="default"/>
          <w:footerReference r:id="rId5" w:type="even"/>
          <w:type w:val="continuous"/>
          <w:pgSz w:w="11905" w:h="16838"/>
          <w:pgMar w:top="1417" w:right="1417" w:bottom="964" w:left="1474" w:header="794" w:footer="737" w:gutter="0"/>
          <w:pgNumType w:fmt="decimal"/>
          <w:cols w:space="0" w:num="1"/>
          <w:titlePg/>
          <w:rtlGutter w:val="0"/>
          <w:docGrid w:linePitch="312" w:charSpace="0"/>
        </w:sectPr>
      </w:pPr>
      <w:bookmarkStart w:id="0" w:name="_Toc351968203"/>
      <w:bookmarkStart w:id="1" w:name="_Toc333941236"/>
      <w:bookmarkStart w:id="2" w:name="_Toc333150905"/>
      <w:bookmarkStart w:id="3" w:name="_Toc330200582"/>
      <w:bookmarkStart w:id="4" w:name="_Toc320798683"/>
      <w:bookmarkStart w:id="5" w:name="_Toc383526179"/>
      <w:bookmarkStart w:id="6" w:name="_Toc339986998"/>
      <w:bookmarkStart w:id="7" w:name="_Toc334790829"/>
      <w:bookmarkStart w:id="8" w:name="_Toc351740753"/>
      <w:bookmarkStart w:id="9" w:name="_Toc346300325"/>
      <w:bookmarkStart w:id="10" w:name="_Toc346043935"/>
      <w:bookmarkStart w:id="11" w:name="_Toc362102228"/>
      <w:bookmarkStart w:id="12" w:name="_Toc363116268"/>
      <w:bookmarkStart w:id="13" w:name="_Toc333150802"/>
      <w:bookmarkStart w:id="14" w:name="_Toc333922939"/>
      <w:bookmarkStart w:id="15" w:name="_Toc363150184"/>
      <w:bookmarkStart w:id="16" w:name="_Toc310407934"/>
      <w:bookmarkStart w:id="17" w:name="_Toc339987412"/>
      <w:bookmarkStart w:id="18" w:name="_Toc320798132"/>
      <w:bookmarkStart w:id="19" w:name="_Toc363065216"/>
      <w:bookmarkStart w:id="20" w:name="_Toc309325624"/>
      <w:bookmarkStart w:id="21" w:name="_Toc334625807"/>
      <w:bookmarkStart w:id="22" w:name="_Toc333939845"/>
      <w:bookmarkStart w:id="23" w:name="_Toc334625493"/>
      <w:bookmarkStart w:id="24" w:name="_Toc35139564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Pr>
        <w:pageBreakBefore w:val="0"/>
        <w:kinsoku/>
        <w:overflowPunct/>
        <w:bidi w:val="0"/>
        <w:spacing w:line="360" w:lineRule="auto"/>
        <w:ind w:left="0" w:leftChars="0" w:right="0" w:rightChars="0" w:firstLine="0" w:firstLineChars="0"/>
        <w:jc w:val="center"/>
        <w:rPr>
          <w:b/>
          <w:bCs/>
          <w:sz w:val="36"/>
          <w:szCs w:val="36"/>
          <w:highlight w:val="none"/>
        </w:rPr>
      </w:pPr>
      <w:r>
        <w:rPr>
          <w:rFonts w:ascii="宋体" w:hAnsi="宋体" w:eastAsia="宋体"/>
          <w:b/>
          <w:bCs/>
          <w:sz w:val="36"/>
          <w:szCs w:val="36"/>
          <w:highlight w:val="none"/>
        </w:rPr>
        <w:t>目</w:t>
      </w:r>
      <w:r>
        <w:rPr>
          <w:rFonts w:hint="eastAsia" w:ascii="宋体" w:hAnsi="宋体" w:eastAsia="宋体"/>
          <w:b/>
          <w:bCs/>
          <w:sz w:val="36"/>
          <w:szCs w:val="36"/>
          <w:highlight w:val="none"/>
          <w:lang w:val="en-US" w:eastAsia="zh-CN"/>
        </w:rPr>
        <w:t xml:space="preserve">  </w:t>
      </w:r>
      <w:r>
        <w:rPr>
          <w:rFonts w:ascii="宋体" w:hAnsi="宋体" w:eastAsia="宋体"/>
          <w:b/>
          <w:bCs/>
          <w:sz w:val="36"/>
          <w:szCs w:val="36"/>
          <w:highlight w:val="none"/>
        </w:rPr>
        <w:t>录</w:t>
      </w:r>
    </w:p>
    <w:p>
      <w:pPr>
        <w:pStyle w:val="28"/>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p>
    <w:p>
      <w:pPr>
        <w:pStyle w:val="28"/>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"1-3"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_Toc20081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第一章  投标邀请</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_Toc20081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_Toc21380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投标邀请</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_Toc21380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_Toc24970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eastAsia="zh-CN"/>
        </w:rPr>
        <w:t>二、</w:t>
      </w:r>
      <w:r>
        <w:rPr>
          <w:rFonts w:hint="eastAsia" w:ascii="宋体" w:hAnsi="宋体" w:eastAsia="宋体" w:cs="宋体"/>
          <w:bCs/>
          <w:sz w:val="24"/>
          <w:szCs w:val="24"/>
          <w:highlight w:val="none"/>
        </w:rPr>
        <w:t>招标项目一览表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_Toc24970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28"/>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_Toc9128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第二章  投标人须知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_Toc9128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_Toc3312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投标人须知前附表</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_Toc3312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_Toc9633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一、说明</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_Toc9633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_Toc29602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二、招标文件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_Toc29602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_Toc16469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三、投标文件的编写</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_Toc16469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16</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_Toc31046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四、投标文件的提交</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_Toc31046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19</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_Toc26562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五、投标文件的评估和比较</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_Toc26562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_Toc11537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六、定标与签订合同</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_Toc11537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_Toc21710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七、质疑与答复</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_Toc21710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28"/>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_Toc14536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 xml:space="preserve">第三章 </w:t>
      </w:r>
      <w:r>
        <w:rPr>
          <w:rFonts w:hint="eastAsia" w:ascii="宋体" w:hAnsi="宋体" w:eastAsia="宋体" w:cs="宋体"/>
          <w:bCs/>
          <w:sz w:val="24"/>
          <w:szCs w:val="24"/>
          <w:highlight w:val="none"/>
        </w:rPr>
        <w:t>招标内容及要求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_Toc14536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_Toc29882 </w:instrText>
      </w:r>
      <w:r>
        <w:rPr>
          <w:rFonts w:hint="eastAsia" w:ascii="宋体" w:hAnsi="宋体" w:eastAsia="宋体" w:cs="宋体"/>
          <w:sz w:val="24"/>
          <w:szCs w:val="24"/>
          <w:highlight w:val="none"/>
        </w:rPr>
        <w:fldChar w:fldCharType="separate"/>
      </w:r>
      <w:r>
        <w:rPr>
          <w:rFonts w:hint="eastAsia" w:ascii="宋体" w:hAnsi="宋体" w:eastAsia="宋体" w:cs="宋体"/>
          <w:bCs/>
          <w:spacing w:val="0"/>
          <w:sz w:val="24"/>
          <w:szCs w:val="24"/>
          <w:highlight w:val="none"/>
        </w:rPr>
        <w:t>一、 项目概况</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_Toc29882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_Toc23792 </w:instrText>
      </w:r>
      <w:r>
        <w:rPr>
          <w:rFonts w:hint="eastAsia" w:ascii="宋体" w:hAnsi="宋体" w:eastAsia="宋体" w:cs="宋体"/>
          <w:sz w:val="24"/>
          <w:szCs w:val="24"/>
          <w:highlight w:val="none"/>
        </w:rPr>
        <w:fldChar w:fldCharType="separate"/>
      </w:r>
      <w:r>
        <w:rPr>
          <w:rFonts w:hint="eastAsia" w:ascii="宋体" w:hAnsi="宋体" w:eastAsia="宋体" w:cs="宋体"/>
          <w:bCs/>
          <w:spacing w:val="0"/>
          <w:sz w:val="24"/>
          <w:szCs w:val="24"/>
          <w:highlight w:val="none"/>
          <w:lang w:eastAsia="zh-CN"/>
        </w:rPr>
        <w:t xml:space="preserve">二、 </w:t>
      </w:r>
      <w:r>
        <w:rPr>
          <w:rFonts w:hint="eastAsia" w:ascii="宋体" w:hAnsi="宋体" w:eastAsia="宋体" w:cs="宋体"/>
          <w:bCs/>
          <w:spacing w:val="0"/>
          <w:sz w:val="24"/>
          <w:szCs w:val="24"/>
          <w:highlight w:val="none"/>
        </w:rPr>
        <w:t>技术要求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_Toc23792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_Toc5401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en-US" w:eastAsia="zh-CN"/>
        </w:rPr>
        <w:t>三、 商务条件</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_Toc5401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28"/>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_Toc2926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 xml:space="preserve">第四章  </w:t>
      </w:r>
      <w:r>
        <w:rPr>
          <w:rFonts w:hint="eastAsia" w:ascii="宋体" w:hAnsi="宋体" w:eastAsia="宋体" w:cs="宋体"/>
          <w:bCs/>
          <w:sz w:val="24"/>
          <w:szCs w:val="24"/>
          <w:highlight w:val="none"/>
          <w:lang w:eastAsia="zh-CN"/>
        </w:rPr>
        <w:t>政府采购合同（参考文本）</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_Toc2926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40</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28"/>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_Toc14448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第五章  投标文件格式</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_Toc14448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44</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_Toc31772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（资格及资信证明部分）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_Toc31772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_Toc26210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（报价部分）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_Toc26210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63</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33"/>
        <w:keepNext w:val="0"/>
        <w:keepLines w:val="0"/>
        <w:pageBreakBefore w:val="0"/>
        <w:widowControl w:val="0"/>
        <w:tabs>
          <w:tab w:val="right" w:leader="dot" w:pos="972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sz w:val="24"/>
          <w:szCs w:val="24"/>
          <w:highlight w:val="none"/>
        </w:rPr>
        <w:instrText xml:space="preserve"> HYPERLINK \l _Toc9391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（技术商务部分）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_Toc9391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75</w:t>
      </w:r>
      <w:r>
        <w:rPr>
          <w:rFonts w:hint="eastAsia" w:ascii="宋体" w:hAnsi="宋体" w:eastAsia="宋体" w:cs="宋体"/>
          <w:sz w:val="24"/>
          <w:szCs w:val="24"/>
          <w:highlight w:val="none"/>
        </w:rPr>
        <w:fldChar w:fldCharType="end"/>
      </w:r>
      <w:r>
        <w:rPr>
          <w:rFonts w:hint="eastAsia" w:ascii="宋体" w:hAnsi="宋体" w:eastAsia="宋体" w:cs="宋体"/>
          <w:color w:val="auto"/>
          <w:sz w:val="24"/>
          <w:szCs w:val="24"/>
          <w:highlight w:val="none"/>
        </w:rPr>
        <w:fldChar w:fldCharType="end"/>
      </w:r>
    </w:p>
    <w:p>
      <w:pPr>
        <w:pStyle w:val="28"/>
        <w:tabs>
          <w:tab w:val="right" w:leader="dot" w:pos="9722"/>
        </w:tabs>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Cs w:val="24"/>
          <w:highlight w:val="none"/>
        </w:rPr>
        <w:fldChar w:fldCharType="end"/>
      </w:r>
    </w:p>
    <w:p>
      <w:pPr>
        <w:pStyle w:val="28"/>
        <w:pageBreakBefore w:val="0"/>
        <w:tabs>
          <w:tab w:val="left" w:pos="586"/>
        </w:tabs>
        <w:kinsoku/>
        <w:overflowPunct/>
        <w:bidi w:val="0"/>
        <w:spacing w:line="360" w:lineRule="auto"/>
        <w:ind w:firstLine="720" w:firstLineChars="300"/>
        <w:jc w:val="both"/>
        <w:rPr>
          <w:rFonts w:ascii="宋体" w:eastAsia="宋体"/>
          <w:color w:val="000000"/>
          <w:sz w:val="24"/>
          <w:szCs w:val="24"/>
          <w:highlight w:val="none"/>
        </w:rPr>
      </w:pPr>
      <w:bookmarkStart w:id="25" w:name="_Toc492718034"/>
      <w:r>
        <w:rPr>
          <w:rFonts w:hint="eastAsia" w:ascii="宋体" w:eastAsia="宋体"/>
          <w:color w:val="000000"/>
          <w:sz w:val="24"/>
          <w:szCs w:val="24"/>
          <w:highlight w:val="none"/>
        </w:rPr>
        <w:t>注：本招标文件共</w:t>
      </w:r>
      <w:r>
        <w:rPr>
          <w:rFonts w:hint="eastAsia" w:ascii="宋体"/>
          <w:color w:val="000000"/>
          <w:sz w:val="24"/>
          <w:szCs w:val="24"/>
          <w:highlight w:val="none"/>
          <w:u w:val="single"/>
          <w:lang w:val="en-US" w:eastAsia="zh-CN"/>
        </w:rPr>
        <w:t>83</w:t>
      </w:r>
      <w:r>
        <w:rPr>
          <w:rFonts w:hint="eastAsia" w:ascii="宋体" w:eastAsia="宋体"/>
          <w:color w:val="000000"/>
          <w:sz w:val="24"/>
          <w:szCs w:val="24"/>
          <w:highlight w:val="none"/>
        </w:rPr>
        <w:t>页（含封面），请投标人领取招标文件时自行核对，如发现缺、损等情况，自领取招标文件之日起二日内向招标代理机构提出，否则，由此造成的一切后果由投标人自负。</w:t>
      </w:r>
    </w:p>
    <w:p>
      <w:pPr>
        <w:pStyle w:val="38"/>
        <w:pageBreakBefore w:val="0"/>
        <w:kinsoku/>
        <w:overflowPunct/>
        <w:bidi w:val="0"/>
        <w:spacing w:line="360" w:lineRule="auto"/>
        <w:outlineLvl w:val="9"/>
        <w:rPr>
          <w:rFonts w:hint="eastAsia"/>
          <w:highlight w:val="none"/>
        </w:rPr>
      </w:pPr>
    </w:p>
    <w:p>
      <w:pPr>
        <w:keepNext w:val="0"/>
        <w:keepLines w:val="0"/>
        <w:pageBreakBefore w:val="0"/>
        <w:kinsoku/>
        <w:overflowPunct/>
        <w:autoSpaceDE/>
        <w:autoSpaceDN/>
        <w:bidi w:val="0"/>
        <w:spacing w:line="360" w:lineRule="auto"/>
        <w:jc w:val="center"/>
        <w:textAlignment w:val="auto"/>
        <w:outlineLvl w:val="0"/>
        <w:rPr>
          <w:rFonts w:hint="eastAsia" w:ascii="宋体" w:hAnsi="宋体" w:eastAsia="宋体" w:cs="宋体"/>
          <w:b/>
          <w:color w:val="auto"/>
          <w:sz w:val="36"/>
          <w:highlight w:val="none"/>
        </w:rPr>
        <w:sectPr>
          <w:footerReference r:id="rId7" w:type="default"/>
          <w:type w:val="continuous"/>
          <w:pgSz w:w="11905" w:h="16838"/>
          <w:pgMar w:top="1417" w:right="1417" w:bottom="964" w:left="1474" w:header="851" w:footer="992" w:gutter="0"/>
          <w:pgNumType w:fmt="decimal" w:start="1"/>
          <w:cols w:space="0" w:num="1"/>
          <w:rtlGutter w:val="0"/>
          <w:docGrid w:linePitch="312" w:charSpace="0"/>
        </w:sectPr>
      </w:pPr>
      <w:bookmarkStart w:id="26" w:name="_Toc20081"/>
    </w:p>
    <w:p>
      <w:pPr>
        <w:keepNext w:val="0"/>
        <w:keepLines w:val="0"/>
        <w:pageBreakBefore w:val="0"/>
        <w:kinsoku/>
        <w:overflowPunct/>
        <w:autoSpaceDE/>
        <w:autoSpaceDN/>
        <w:bidi w:val="0"/>
        <w:spacing w:line="360" w:lineRule="auto"/>
        <w:jc w:val="center"/>
        <w:textAlignment w:val="auto"/>
        <w:outlineLvl w:val="0"/>
        <w:rPr>
          <w:rFonts w:hint="eastAsia" w:ascii="宋体" w:hAnsi="宋体" w:eastAsia="宋体" w:cs="宋体"/>
          <w:b/>
          <w:color w:val="auto"/>
          <w:sz w:val="36"/>
          <w:highlight w:val="none"/>
        </w:rPr>
      </w:pPr>
      <w:r>
        <w:rPr>
          <w:rFonts w:hint="eastAsia" w:ascii="宋体" w:hAnsi="宋体" w:eastAsia="宋体" w:cs="宋体"/>
          <w:b/>
          <w:color w:val="auto"/>
          <w:sz w:val="36"/>
          <w:highlight w:val="none"/>
        </w:rPr>
        <w:t>第一章  投标邀请</w:t>
      </w:r>
      <w:bookmarkEnd w:id="25"/>
      <w:bookmarkEnd w:id="26"/>
    </w:p>
    <w:p>
      <w:pPr>
        <w:keepNext w:val="0"/>
        <w:keepLines w:val="0"/>
        <w:pageBreakBefore w:val="0"/>
        <w:kinsoku/>
        <w:overflowPunct/>
        <w:autoSpaceDE/>
        <w:autoSpaceDN/>
        <w:bidi w:val="0"/>
        <w:spacing w:line="360" w:lineRule="auto"/>
        <w:jc w:val="center"/>
        <w:textAlignment w:val="auto"/>
        <w:outlineLvl w:val="1"/>
        <w:rPr>
          <w:rFonts w:hint="eastAsia" w:ascii="宋体" w:hAnsi="宋体" w:eastAsia="宋体" w:cs="宋体"/>
          <w:b/>
          <w:color w:val="auto"/>
          <w:sz w:val="44"/>
          <w:szCs w:val="20"/>
          <w:highlight w:val="none"/>
        </w:rPr>
      </w:pPr>
      <w:bookmarkStart w:id="27" w:name="_Toc492718035"/>
      <w:bookmarkStart w:id="28" w:name="_Toc21380"/>
      <w:r>
        <w:rPr>
          <w:rFonts w:hint="eastAsia" w:ascii="宋体" w:hAnsi="宋体" w:cs="宋体"/>
          <w:b/>
          <w:color w:val="auto"/>
          <w:sz w:val="36"/>
          <w:highlight w:val="none"/>
          <w:lang w:eastAsia="zh-CN"/>
        </w:rPr>
        <w:t>一、</w:t>
      </w:r>
      <w:r>
        <w:rPr>
          <w:rFonts w:hint="eastAsia" w:ascii="宋体" w:hAnsi="宋体" w:eastAsia="宋体" w:cs="宋体"/>
          <w:b/>
          <w:color w:val="auto"/>
          <w:sz w:val="36"/>
          <w:highlight w:val="none"/>
        </w:rPr>
        <w:t>投标邀请</w:t>
      </w:r>
      <w:bookmarkEnd w:id="27"/>
      <w:bookmarkEnd w:id="28"/>
    </w:p>
    <w:p>
      <w:pPr>
        <w:keepNext w:val="0"/>
        <w:keepLines w:val="0"/>
        <w:pageBreakBefore w:val="0"/>
        <w:kinsoku/>
        <w:overflowPunct/>
        <w:autoSpaceDE/>
        <w:autoSpaceDN/>
        <w:bidi w:val="0"/>
        <w:spacing w:line="360" w:lineRule="auto"/>
        <w:ind w:firstLine="482" w:firstLineChars="200"/>
        <w:textAlignment w:val="auto"/>
        <w:outlineLvl w:val="9"/>
        <w:rPr>
          <w:rFonts w:hint="eastAsia" w:ascii="宋体" w:hAnsi="宋体" w:eastAsia="宋体" w:cs="宋体"/>
          <w:b/>
          <w:bCs/>
          <w:color w:val="auto"/>
          <w:sz w:val="24"/>
          <w:highlight w:val="none"/>
          <w:u w:val="none"/>
          <w:lang w:eastAsia="zh-CN"/>
        </w:rPr>
      </w:pPr>
      <w:r>
        <w:rPr>
          <w:rFonts w:hint="eastAsia" w:ascii="宋体" w:hAnsi="宋体" w:eastAsia="宋体" w:cs="宋体"/>
          <w:b/>
          <w:bCs/>
          <w:color w:val="auto"/>
          <w:sz w:val="24"/>
          <w:highlight w:val="none"/>
          <w:u w:val="none"/>
          <w:lang w:eastAsia="zh-CN"/>
        </w:rPr>
        <w:t>根据《福建省财政厅关于落实疫情防控采购便利化有关政策的通知》的规定，本项目以满足疫情防控工作需要为首要目标，不执行政府采购法规定的方式和程序。</w:t>
      </w:r>
    </w:p>
    <w:p>
      <w:pPr>
        <w:pStyle w:val="36"/>
        <w:keepNext w:val="0"/>
        <w:keepLines w:val="0"/>
        <w:pageBreakBefore w:val="0"/>
        <w:widowControl/>
        <w:kinsoku/>
        <w:overflowPunct/>
        <w:autoSpaceDE/>
        <w:autoSpaceDN/>
        <w:bidi w:val="0"/>
        <w:spacing w:before="0" w:beforeLines="0" w:beforeAutospacing="0" w:after="0" w:afterLines="0" w:afterAutospacing="0" w:line="360" w:lineRule="auto"/>
        <w:ind w:firstLine="480"/>
        <w:textAlignment w:val="auto"/>
        <w:outlineLvl w:val="9"/>
        <w:rPr>
          <w:rFonts w:hint="eastAsia" w:ascii="宋体" w:hAnsi="宋体" w:eastAsia="宋体" w:cs="宋体"/>
          <w:b/>
          <w:color w:val="auto"/>
          <w:sz w:val="24"/>
          <w:highlight w:val="none"/>
        </w:rPr>
      </w:pPr>
      <w:r>
        <w:rPr>
          <w:rFonts w:hint="eastAsia" w:ascii="宋体" w:hAnsi="宋体" w:cs="宋体"/>
          <w:color w:val="000000"/>
          <w:highlight w:val="none"/>
          <w:u w:val="single"/>
          <w:lang w:eastAsia="zh-CN"/>
        </w:rPr>
        <w:t>福建省天海招标有限公司</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rPr>
        <w:t>受</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u w:val="single"/>
        </w:rPr>
        <w:t>福建省卫生健康委员会</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rPr>
        <w:t>的委托，对</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u w:val="single"/>
        </w:rPr>
        <w:t>福建省</w:t>
      </w:r>
      <w:r>
        <w:rPr>
          <w:rFonts w:hint="eastAsia" w:ascii="宋体" w:hAnsi="宋体" w:cs="宋体"/>
          <w:color w:val="000000"/>
          <w:highlight w:val="none"/>
          <w:u w:val="single"/>
          <w:lang w:eastAsia="zh-CN"/>
        </w:rPr>
        <w:t>部分卫生院</w:t>
      </w:r>
      <w:r>
        <w:rPr>
          <w:rFonts w:hint="eastAsia" w:ascii="宋体" w:hAnsi="宋体" w:cs="宋体"/>
          <w:color w:val="000000"/>
          <w:highlight w:val="none"/>
          <w:u w:val="single"/>
        </w:rPr>
        <w:t>新冠肺炎</w:t>
      </w:r>
      <w:r>
        <w:rPr>
          <w:rFonts w:hint="eastAsia" w:ascii="宋体" w:hAnsi="宋体" w:cs="宋体"/>
          <w:color w:val="000000"/>
          <w:highlight w:val="none"/>
          <w:u w:val="single"/>
          <w:lang w:eastAsia="zh-CN"/>
        </w:rPr>
        <w:t>疫情</w:t>
      </w:r>
      <w:r>
        <w:rPr>
          <w:rFonts w:hint="eastAsia" w:ascii="宋体" w:hAnsi="宋体" w:cs="宋体"/>
          <w:color w:val="000000"/>
          <w:highlight w:val="none"/>
          <w:u w:val="single"/>
        </w:rPr>
        <w:t>防治</w:t>
      </w:r>
      <w:r>
        <w:rPr>
          <w:rFonts w:hint="eastAsia" w:ascii="宋体" w:hAnsi="宋体" w:cs="宋体"/>
          <w:color w:val="000000"/>
          <w:highlight w:val="none"/>
          <w:u w:val="single"/>
          <w:lang w:eastAsia="zh-CN"/>
        </w:rPr>
        <w:t>转运</w:t>
      </w:r>
      <w:r>
        <w:rPr>
          <w:rFonts w:hint="eastAsia" w:ascii="宋体" w:hAnsi="宋体" w:cs="宋体"/>
          <w:color w:val="000000"/>
          <w:highlight w:val="none"/>
          <w:u w:val="single"/>
        </w:rPr>
        <w:t>救护车采购项目</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rPr>
        <w:t>进行</w:t>
      </w:r>
      <w:bookmarkStart w:id="190" w:name="_GoBack"/>
      <w:bookmarkEnd w:id="190"/>
      <w:r>
        <w:rPr>
          <w:rFonts w:hint="eastAsia" w:ascii="宋体" w:hAnsi="宋体" w:cs="宋体"/>
          <w:color w:val="000000"/>
          <w:highlight w:val="none"/>
        </w:rPr>
        <w:t>招标，现欢迎国内合格的投标人前来提交密封的投标。</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1、招标编号：FJTH-6020200426 </w:t>
      </w:r>
    </w:p>
    <w:p>
      <w:pPr>
        <w:keepNext w:val="0"/>
        <w:keepLines w:val="0"/>
        <w:pageBreakBefore w:val="0"/>
        <w:kinsoku/>
        <w:overflowPunct/>
        <w:autoSpaceDE/>
        <w:autoSpaceDN/>
        <w:bidi w:val="0"/>
        <w:spacing w:line="360" w:lineRule="auto"/>
        <w:ind w:firstLine="480" w:firstLineChars="20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2、招标要求：详见</w:t>
      </w:r>
      <w:r>
        <w:rPr>
          <w:rFonts w:hint="eastAsia" w:ascii="宋体" w:hAnsi="宋体" w:eastAsia="宋体" w:cs="宋体"/>
          <w:color w:val="auto"/>
          <w:sz w:val="24"/>
          <w:highlight w:val="none"/>
          <w:lang w:eastAsia="zh-CN"/>
        </w:rPr>
        <w:t>第三章招标内容及要求</w:t>
      </w:r>
    </w:p>
    <w:p>
      <w:pPr>
        <w:pStyle w:val="36"/>
        <w:keepNext w:val="0"/>
        <w:keepLines w:val="0"/>
        <w:pageBreakBefore w:val="0"/>
        <w:widowControl/>
        <w:kinsoku/>
        <w:overflowPunct/>
        <w:autoSpaceDE/>
        <w:autoSpaceDN/>
        <w:bidi w:val="0"/>
        <w:spacing w:before="0" w:beforeLines="0" w:beforeAutospacing="0" w:after="0" w:afterLines="0" w:afterAutospacing="0" w:line="360" w:lineRule="auto"/>
        <w:ind w:firstLine="480"/>
        <w:textAlignment w:val="auto"/>
        <w:outlineLvl w:val="9"/>
        <w:rPr>
          <w:rFonts w:hint="eastAsia" w:ascii="宋体" w:hAnsi="宋体" w:eastAsia="宋体" w:cs="宋体"/>
          <w:color w:val="auto"/>
          <w:sz w:val="24"/>
          <w:highlight w:val="none"/>
        </w:rPr>
      </w:pPr>
      <w:r>
        <w:rPr>
          <w:rFonts w:hint="eastAsia" w:ascii="宋体" w:hAnsi="宋体" w:cs="宋体"/>
          <w:color w:val="000000"/>
          <w:highlight w:val="none"/>
          <w:lang w:val="en-US" w:eastAsia="zh-CN"/>
        </w:rPr>
        <w:t>3</w:t>
      </w:r>
      <w:r>
        <w:rPr>
          <w:rFonts w:hint="eastAsia" w:ascii="宋体" w:hAnsi="宋体" w:cs="宋体"/>
          <w:color w:val="000000"/>
          <w:highlight w:val="none"/>
        </w:rPr>
        <w:t>、</w:t>
      </w:r>
      <w:r>
        <w:rPr>
          <w:rFonts w:hint="eastAsia" w:ascii="宋体" w:hAnsi="宋体"/>
          <w:highlight w:val="none"/>
        </w:rPr>
        <w:t>潜在供应商无须报名，可从相关网站上</w:t>
      </w:r>
      <w:r>
        <w:rPr>
          <w:rFonts w:hint="eastAsia" w:ascii="宋体" w:hAnsi="宋体"/>
          <w:highlight w:val="none"/>
          <w:lang w:eastAsia="zh-CN"/>
        </w:rPr>
        <w:t>直接</w:t>
      </w:r>
      <w:r>
        <w:rPr>
          <w:rFonts w:hint="eastAsia" w:ascii="宋体" w:hAnsi="宋体"/>
          <w:highlight w:val="none"/>
        </w:rPr>
        <w:t>获取招标文件，本项目公示期为5 个自然日。</w:t>
      </w:r>
    </w:p>
    <w:p>
      <w:pPr>
        <w:keepNext w:val="0"/>
        <w:keepLines w:val="0"/>
        <w:pageBreakBefore w:val="0"/>
        <w:numPr>
          <w:ilvl w:val="0"/>
          <w:numId w:val="0"/>
        </w:numPr>
        <w:kinsoku/>
        <w:overflowPunct/>
        <w:topLinePunct w:val="0"/>
        <w:autoSpaceDE/>
        <w:autoSpaceDN/>
        <w:bidi w:val="0"/>
        <w:adjustRightInd/>
        <w:spacing w:beforeAutospacing="0" w:afterAutospacing="0" w:line="360" w:lineRule="auto"/>
        <w:ind w:left="368" w:leftChars="175" w:firstLine="50" w:firstLineChars="21"/>
        <w:textAlignment w:val="auto"/>
        <w:outlineLvl w:val="9"/>
        <w:rPr>
          <w:rFonts w:hint="eastAsia" w:ascii="宋体" w:hAnsi="宋体" w:eastAsia="宋体" w:cs="宋体"/>
          <w:color w:val="auto"/>
          <w:kern w:val="0"/>
          <w:sz w:val="24"/>
          <w:highlight w:val="none"/>
        </w:rPr>
      </w:pPr>
      <w:bookmarkStart w:id="29" w:name="_Toc420074834"/>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w:t>
      </w:r>
      <w:r>
        <w:rPr>
          <w:rFonts w:hint="eastAsia" w:ascii="宋体" w:hAnsi="宋体" w:eastAsia="宋体" w:cs="宋体"/>
          <w:color w:val="auto"/>
          <w:kern w:val="0"/>
          <w:sz w:val="24"/>
          <w:highlight w:val="none"/>
          <w:lang w:eastAsia="zh-CN"/>
        </w:rPr>
        <w:t>投标</w:t>
      </w:r>
      <w:r>
        <w:rPr>
          <w:rFonts w:hint="eastAsia" w:ascii="宋体" w:hAnsi="宋体" w:eastAsia="宋体" w:cs="宋体"/>
          <w:color w:val="auto"/>
          <w:kern w:val="0"/>
          <w:sz w:val="24"/>
          <w:highlight w:val="none"/>
        </w:rPr>
        <w:t>文件的递交</w:t>
      </w:r>
      <w:bookmarkEnd w:id="29"/>
    </w:p>
    <w:p>
      <w:pPr>
        <w:keepNext w:val="0"/>
        <w:keepLines w:val="0"/>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b/>
          <w:bCs/>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shd w:val="clear" w:color="auto" w:fill="FFFFFF"/>
          <w:lang w:eastAsia="zh-CN"/>
        </w:rPr>
        <w:t>投标</w:t>
      </w:r>
      <w:r>
        <w:rPr>
          <w:rFonts w:hint="eastAsia" w:ascii="宋体" w:hAnsi="宋体" w:eastAsia="宋体" w:cs="宋体"/>
          <w:color w:val="auto"/>
          <w:sz w:val="24"/>
          <w:highlight w:val="none"/>
          <w:shd w:val="clear" w:color="auto" w:fill="FFFFFF"/>
        </w:rPr>
        <w:t>文件递交截止时间及地点</w:t>
      </w:r>
      <w:r>
        <w:rPr>
          <w:rFonts w:hint="eastAsia" w:ascii="宋体" w:hAnsi="宋体" w:eastAsia="宋体" w:cs="宋体"/>
          <w:color w:val="auto"/>
          <w:sz w:val="24"/>
          <w:highlight w:val="none"/>
        </w:rPr>
        <w:t>：20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06</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 xml:space="preserve">15 </w:t>
      </w:r>
      <w:r>
        <w:rPr>
          <w:rFonts w:hint="eastAsia" w:ascii="宋体" w:hAnsi="宋体" w:eastAsia="宋体" w:cs="宋体"/>
          <w:color w:val="auto"/>
          <w:sz w:val="24"/>
          <w:highlight w:val="none"/>
        </w:rPr>
        <w:t>时</w:t>
      </w:r>
      <w:r>
        <w:rPr>
          <w:rFonts w:hint="eastAsia" w:ascii="宋体" w:hAnsi="宋体" w:cs="宋体"/>
          <w:color w:val="auto"/>
          <w:sz w:val="24"/>
          <w:highlight w:val="none"/>
          <w:lang w:val="en-US" w:eastAsia="zh-CN"/>
        </w:rPr>
        <w:t>00</w:t>
      </w:r>
      <w:r>
        <w:rPr>
          <w:rFonts w:hint="eastAsia" w:ascii="宋体" w:hAnsi="宋体" w:eastAsia="宋体" w:cs="宋体"/>
          <w:color w:val="auto"/>
          <w:sz w:val="24"/>
          <w:highlight w:val="none"/>
        </w:rPr>
        <w:t>分，提交地点为</w:t>
      </w:r>
      <w:r>
        <w:rPr>
          <w:rFonts w:hint="eastAsia" w:ascii="宋体" w:hAnsi="宋体" w:eastAsia="宋体" w:cs="宋体"/>
          <w:b/>
          <w:color w:val="auto"/>
          <w:sz w:val="24"/>
          <w:highlight w:val="none"/>
        </w:rPr>
        <w:t>福建省天海招标有限公司（福州市鼓楼区湖东路99号标力大厦12层</w:t>
      </w:r>
      <w:r>
        <w:rPr>
          <w:rFonts w:hint="eastAsia" w:ascii="宋体" w:hAnsi="宋体" w:cs="宋体"/>
          <w:b/>
          <w:color w:val="auto"/>
          <w:sz w:val="24"/>
          <w:highlight w:val="none"/>
          <w:lang w:eastAsia="zh-CN"/>
        </w:rPr>
        <w:t>）</w:t>
      </w:r>
      <w:r>
        <w:rPr>
          <w:rFonts w:hint="eastAsia" w:ascii="宋体" w:hAnsi="宋体" w:eastAsia="宋体" w:cs="宋体"/>
          <w:b/>
          <w:bCs/>
          <w:color w:val="auto"/>
          <w:sz w:val="24"/>
          <w:highlight w:val="none"/>
        </w:rPr>
        <w:t>。</w:t>
      </w:r>
    </w:p>
    <w:p>
      <w:pPr>
        <w:pStyle w:val="36"/>
        <w:keepNext w:val="0"/>
        <w:keepLines w:val="0"/>
        <w:pageBreakBefore w:val="0"/>
        <w:widowControl/>
        <w:kinsoku/>
        <w:overflowPunct/>
        <w:topLinePunct w:val="0"/>
        <w:autoSpaceDE/>
        <w:autoSpaceDN/>
        <w:bidi w:val="0"/>
        <w:adjustRightInd/>
        <w:spacing w:before="0" w:beforeLines="0" w:beforeAutospacing="0" w:after="0" w:afterLines="0" w:afterAutospacing="0" w:line="360" w:lineRule="auto"/>
        <w:ind w:firstLine="480"/>
        <w:textAlignment w:val="auto"/>
        <w:outlineLvl w:val="9"/>
        <w:rPr>
          <w:rFonts w:hint="eastAsia" w:ascii="宋体" w:hAnsi="宋体" w:eastAsia="宋体" w:cs="宋体"/>
          <w:color w:val="auto"/>
          <w:highlight w:val="none"/>
          <w:shd w:val="clear" w:color="auto" w:fill="FFFFFF"/>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.2逾期送达的或者未送达指定地点的或者未按</w:t>
      </w:r>
      <w:r>
        <w:rPr>
          <w:rFonts w:hint="eastAsia" w:ascii="宋体" w:hAnsi="宋体" w:cs="宋体"/>
          <w:color w:val="auto"/>
          <w:sz w:val="24"/>
          <w:highlight w:val="none"/>
          <w:lang w:eastAsia="zh-CN"/>
        </w:rPr>
        <w:t>招标文件</w:t>
      </w:r>
      <w:r>
        <w:rPr>
          <w:rFonts w:hint="eastAsia" w:ascii="宋体" w:hAnsi="宋体" w:eastAsia="宋体" w:cs="宋体"/>
          <w:color w:val="auto"/>
          <w:highlight w:val="none"/>
        </w:rPr>
        <w:t>要求密封的响应文件，</w:t>
      </w:r>
      <w:r>
        <w:rPr>
          <w:rFonts w:hint="eastAsia" w:ascii="宋体" w:hAnsi="宋体" w:eastAsia="宋体" w:cs="宋体"/>
          <w:color w:val="auto"/>
          <w:highlight w:val="none"/>
          <w:shd w:val="clear" w:color="auto" w:fill="FFFFFF"/>
        </w:rPr>
        <w:t>将被拒绝接收。</w:t>
      </w:r>
    </w:p>
    <w:p>
      <w:pPr>
        <w:keepNext w:val="0"/>
        <w:keepLines w:val="0"/>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bCs/>
          <w:color w:val="auto"/>
          <w:kern w:val="0"/>
          <w:sz w:val="24"/>
          <w:highlight w:val="none"/>
        </w:rPr>
      </w:pPr>
      <w:r>
        <w:rPr>
          <w:rFonts w:hint="eastAsia" w:ascii="宋体" w:hAnsi="宋体" w:cs="宋体"/>
          <w:b/>
          <w:bCs/>
          <w:color w:val="auto"/>
          <w:sz w:val="24"/>
          <w:highlight w:val="none"/>
          <w:lang w:val="en-US" w:eastAsia="zh-CN"/>
        </w:rPr>
        <w:t>4</w:t>
      </w:r>
      <w:r>
        <w:rPr>
          <w:rFonts w:hint="eastAsia" w:ascii="宋体" w:hAnsi="宋体" w:eastAsia="宋体" w:cs="宋体"/>
          <w:b/>
          <w:bCs/>
          <w:color w:val="auto"/>
          <w:sz w:val="24"/>
          <w:highlight w:val="none"/>
        </w:rPr>
        <w:t xml:space="preserve">.3 </w:t>
      </w:r>
      <w:r>
        <w:rPr>
          <w:rFonts w:hint="eastAsia" w:ascii="宋体" w:hAnsi="宋体" w:cs="宋体"/>
          <w:b/>
          <w:bCs/>
          <w:color w:val="auto"/>
          <w:sz w:val="24"/>
          <w:highlight w:val="none"/>
          <w:lang w:eastAsia="zh-CN"/>
        </w:rPr>
        <w:t>开标</w:t>
      </w:r>
      <w:r>
        <w:rPr>
          <w:rFonts w:hint="eastAsia" w:ascii="宋体" w:hAnsi="宋体" w:eastAsia="宋体" w:cs="宋体"/>
          <w:b/>
          <w:bCs/>
          <w:color w:val="auto"/>
          <w:sz w:val="24"/>
          <w:highlight w:val="none"/>
        </w:rPr>
        <w:t>时间及地点为响应文件递交截止时间及地点的同一时间和地点。</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、发布公告的媒介</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bCs/>
          <w:color w:val="auto"/>
          <w:sz w:val="24"/>
          <w:highlight w:val="none"/>
        </w:rPr>
        <w:t>有</w:t>
      </w:r>
      <w:r>
        <w:rPr>
          <w:rFonts w:hint="eastAsia" w:ascii="宋体" w:hAnsi="宋体" w:eastAsia="宋体" w:cs="宋体"/>
          <w:color w:val="auto"/>
          <w:sz w:val="24"/>
          <w:highlight w:val="none"/>
        </w:rPr>
        <w:t>关本次招标的相关信息(包括招标文件若有修改)将在【福建省卫生健康委员会（http://wjw.fujian.gov.cn/）及</w:t>
      </w:r>
      <w:r>
        <w:rPr>
          <w:rFonts w:hint="eastAsia" w:ascii="宋体" w:hAnsi="宋体" w:cs="宋体"/>
          <w:color w:val="auto"/>
          <w:sz w:val="24"/>
          <w:highlight w:val="none"/>
          <w:lang w:eastAsia="zh-CN"/>
        </w:rPr>
        <w:t>福建省天海招标有限公司</w:t>
      </w:r>
      <w:r>
        <w:rPr>
          <w:rFonts w:hint="eastAsia" w:ascii="宋体" w:hAnsi="宋体" w:eastAsia="宋体" w:cs="宋体"/>
          <w:color w:val="auto"/>
          <w:sz w:val="24"/>
          <w:highlight w:val="none"/>
        </w:rPr>
        <w:t>（http://www.</w:t>
      </w:r>
      <w:r>
        <w:rPr>
          <w:rFonts w:hint="eastAsia" w:ascii="宋体" w:hAnsi="宋体" w:cs="宋体"/>
          <w:color w:val="auto"/>
          <w:sz w:val="24"/>
          <w:highlight w:val="none"/>
          <w:lang w:val="en-US" w:eastAsia="zh-CN"/>
        </w:rPr>
        <w:t>fjthzb</w:t>
      </w:r>
      <w:r>
        <w:rPr>
          <w:rFonts w:hint="eastAsia" w:ascii="宋体" w:hAnsi="宋体" w:eastAsia="宋体" w:cs="宋体"/>
          <w:color w:val="auto"/>
          <w:sz w:val="24"/>
          <w:highlight w:val="none"/>
        </w:rPr>
        <w:t>.com/）】发布，请潜在投标人随时关注相关网站，以免错漏重要信息。</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、采购项目联系方式</w:t>
      </w:r>
    </w:p>
    <w:p>
      <w:pPr>
        <w:keepNext w:val="0"/>
        <w:keepLines w:val="0"/>
        <w:pageBreakBefore w:val="0"/>
        <w:kinsoku/>
        <w:overflowPunct/>
        <w:autoSpaceDE/>
        <w:autoSpaceDN/>
        <w:bidi w:val="0"/>
        <w:spacing w:line="360" w:lineRule="auto"/>
        <w:ind w:left="0" w:leftChars="0" w:firstLine="840" w:firstLineChars="350"/>
        <w:textAlignment w:val="auto"/>
        <w:outlineLvl w:val="9"/>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联系人姓名：</w:t>
      </w:r>
      <w:r>
        <w:rPr>
          <w:rFonts w:hint="eastAsia" w:ascii="宋体" w:hAnsi="宋体" w:cs="宋体"/>
          <w:color w:val="auto"/>
          <w:sz w:val="24"/>
          <w:highlight w:val="none"/>
          <w:lang w:eastAsia="zh-CN"/>
        </w:rPr>
        <w:t>江女士</w:t>
      </w:r>
      <w:r>
        <w:rPr>
          <w:rFonts w:hint="eastAsia" w:ascii="宋体" w:hAnsi="宋体" w:cs="宋体"/>
          <w:color w:val="auto"/>
          <w:sz w:val="24"/>
          <w:highlight w:val="none"/>
          <w:lang w:val="en-US" w:eastAsia="zh-CN"/>
        </w:rPr>
        <w:t xml:space="preserve"> </w:t>
      </w:r>
    </w:p>
    <w:p>
      <w:pPr>
        <w:keepNext w:val="0"/>
        <w:keepLines w:val="0"/>
        <w:pageBreakBefore w:val="0"/>
        <w:kinsoku/>
        <w:overflowPunct/>
        <w:autoSpaceDE/>
        <w:autoSpaceDN/>
        <w:bidi w:val="0"/>
        <w:spacing w:line="360" w:lineRule="auto"/>
        <w:ind w:left="0" w:leftChars="0" w:firstLine="840" w:firstLineChars="35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电  话：</w:t>
      </w:r>
      <w:r>
        <w:rPr>
          <w:rFonts w:hint="eastAsia" w:ascii="宋体" w:hAnsi="宋体" w:eastAsia="宋体" w:cs="宋体"/>
          <w:color w:val="auto"/>
          <w:sz w:val="24"/>
          <w:highlight w:val="none"/>
          <w:lang w:val="en-US" w:eastAsia="zh-CN"/>
        </w:rPr>
        <w:t>0591-</w:t>
      </w:r>
      <w:r>
        <w:rPr>
          <w:rFonts w:hint="eastAsia" w:ascii="宋体" w:hAnsi="宋体" w:eastAsia="宋体" w:cs="宋体"/>
          <w:color w:val="auto"/>
          <w:sz w:val="24"/>
          <w:highlight w:val="none"/>
        </w:rPr>
        <w:t>87</w:t>
      </w:r>
      <w:r>
        <w:rPr>
          <w:rFonts w:hint="eastAsia" w:ascii="宋体" w:hAnsi="宋体" w:cs="宋体"/>
          <w:color w:val="auto"/>
          <w:sz w:val="24"/>
          <w:highlight w:val="none"/>
          <w:lang w:val="en-US" w:eastAsia="zh-CN"/>
        </w:rPr>
        <w:t>322531</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u w:val="none"/>
          <w:lang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、招标</w:t>
      </w:r>
      <w:r>
        <w:rPr>
          <w:rFonts w:hint="eastAsia" w:ascii="宋体" w:hAnsi="宋体" w:eastAsia="宋体" w:cs="宋体"/>
          <w:color w:val="auto"/>
          <w:sz w:val="24"/>
          <w:highlight w:val="none"/>
          <w:u w:val="none"/>
        </w:rPr>
        <w:t>代理机构：</w:t>
      </w:r>
      <w:r>
        <w:rPr>
          <w:rFonts w:hint="eastAsia" w:ascii="宋体" w:hAnsi="宋体" w:eastAsia="宋体" w:cs="宋体"/>
          <w:color w:val="auto"/>
          <w:sz w:val="24"/>
          <w:highlight w:val="none"/>
          <w:u w:val="none"/>
          <w:lang w:eastAsia="zh-CN"/>
        </w:rPr>
        <w:t>福建省天海招标有限公司</w:t>
      </w:r>
    </w:p>
    <w:p>
      <w:pPr>
        <w:keepNext w:val="0"/>
        <w:keepLines w:val="0"/>
        <w:pageBreakBefore w:val="0"/>
        <w:kinsoku/>
        <w:overflowPunct/>
        <w:autoSpaceDE/>
        <w:autoSpaceDN/>
        <w:bidi w:val="0"/>
        <w:spacing w:line="360" w:lineRule="auto"/>
        <w:ind w:left="0" w:leftChars="0" w:firstLine="840" w:firstLineChars="350"/>
        <w:textAlignment w:val="auto"/>
        <w:outlineLvl w:val="9"/>
        <w:rPr>
          <w:rFonts w:hint="default"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rPr>
        <w:t>地  址：</w:t>
      </w:r>
      <w:r>
        <w:rPr>
          <w:rFonts w:hint="eastAsia" w:ascii="宋体" w:hAnsi="宋体" w:eastAsia="宋体" w:cs="宋体"/>
          <w:color w:val="auto"/>
          <w:sz w:val="24"/>
          <w:highlight w:val="none"/>
          <w:u w:val="none"/>
          <w:lang w:eastAsia="zh-CN"/>
        </w:rPr>
        <w:t>福建省福州市鼓楼区湖东路</w:t>
      </w:r>
      <w:r>
        <w:rPr>
          <w:rFonts w:hint="eastAsia" w:ascii="宋体" w:hAnsi="宋体" w:eastAsia="宋体" w:cs="宋体"/>
          <w:color w:val="auto"/>
          <w:sz w:val="24"/>
          <w:highlight w:val="none"/>
          <w:u w:val="none"/>
          <w:lang w:val="en-US" w:eastAsia="zh-CN"/>
        </w:rPr>
        <w:t>99号标力大厦12层</w:t>
      </w:r>
      <w:r>
        <w:rPr>
          <w:rFonts w:hint="eastAsia" w:ascii="宋体" w:hAnsi="宋体" w:eastAsia="宋体" w:cs="宋体"/>
          <w:color w:val="auto"/>
          <w:sz w:val="24"/>
          <w:highlight w:val="none"/>
          <w:u w:val="none"/>
          <w:lang w:val="en-US" w:eastAsia="zh-CN"/>
        </w:rPr>
        <w:tab/>
      </w:r>
      <w:r>
        <w:rPr>
          <w:rFonts w:hint="eastAsia" w:ascii="宋体" w:hAnsi="宋体" w:eastAsia="宋体" w:cs="宋体"/>
          <w:color w:val="auto"/>
          <w:sz w:val="24"/>
          <w:highlight w:val="none"/>
          <w:u w:val="none"/>
          <w:lang w:val="en-US" w:eastAsia="zh-CN"/>
        </w:rPr>
        <w:tab/>
      </w:r>
    </w:p>
    <w:p>
      <w:pPr>
        <w:keepNext w:val="0"/>
        <w:keepLines w:val="0"/>
        <w:pageBreakBefore w:val="0"/>
        <w:tabs>
          <w:tab w:val="left" w:pos="3615"/>
        </w:tabs>
        <w:kinsoku/>
        <w:overflowPunct/>
        <w:autoSpaceDE/>
        <w:autoSpaceDN/>
        <w:bidi w:val="0"/>
        <w:spacing w:line="360" w:lineRule="auto"/>
        <w:ind w:left="0" w:leftChars="0" w:firstLine="840" w:firstLineChars="350"/>
        <w:textAlignment w:val="auto"/>
        <w:outlineLvl w:val="9"/>
        <w:rPr>
          <w:rFonts w:hint="default"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rPr>
        <w:t>邮  编：</w:t>
      </w:r>
      <w:r>
        <w:rPr>
          <w:rFonts w:hint="eastAsia" w:ascii="宋体" w:hAnsi="宋体" w:eastAsia="宋体" w:cs="宋体"/>
          <w:color w:val="auto"/>
          <w:sz w:val="24"/>
          <w:highlight w:val="none"/>
          <w:u w:val="none"/>
          <w:lang w:val="en-US" w:eastAsia="zh-CN"/>
        </w:rPr>
        <w:t>350001</w:t>
      </w:r>
    </w:p>
    <w:p>
      <w:pPr>
        <w:keepNext w:val="0"/>
        <w:keepLines w:val="0"/>
        <w:pageBreakBefore w:val="0"/>
        <w:kinsoku/>
        <w:overflowPunct/>
        <w:autoSpaceDE/>
        <w:autoSpaceDN/>
        <w:bidi w:val="0"/>
        <w:spacing w:line="360" w:lineRule="auto"/>
        <w:ind w:left="0" w:leftChars="0" w:firstLine="840" w:firstLineChars="350"/>
        <w:textAlignment w:val="auto"/>
        <w:outlineLvl w:val="9"/>
        <w:rPr>
          <w:rFonts w:hint="default"/>
          <w:highlight w:val="none"/>
          <w:lang w:val="en-US" w:eastAsia="zh-CN"/>
        </w:rPr>
      </w:pPr>
      <w:r>
        <w:rPr>
          <w:rFonts w:hint="eastAsia" w:ascii="宋体" w:hAnsi="宋体" w:eastAsia="宋体" w:cs="宋体"/>
          <w:color w:val="auto"/>
          <w:sz w:val="24"/>
          <w:highlight w:val="none"/>
          <w:u w:val="none"/>
        </w:rPr>
        <w:t>电  话：</w:t>
      </w:r>
      <w:r>
        <w:rPr>
          <w:rFonts w:hint="eastAsia" w:ascii="宋体" w:hAnsi="宋体" w:eastAsia="宋体" w:cs="宋体"/>
          <w:color w:val="auto"/>
          <w:sz w:val="24"/>
          <w:highlight w:val="none"/>
          <w:u w:val="none"/>
          <w:lang w:val="en-US" w:eastAsia="zh-CN"/>
        </w:rPr>
        <w:t>0591-8787</w:t>
      </w:r>
      <w:r>
        <w:rPr>
          <w:rFonts w:hint="eastAsia" w:ascii="宋体" w:hAnsi="宋体" w:cs="宋体"/>
          <w:color w:val="auto"/>
          <w:sz w:val="24"/>
          <w:highlight w:val="none"/>
          <w:u w:val="none"/>
          <w:lang w:val="en-US" w:eastAsia="zh-CN"/>
        </w:rPr>
        <w:t>4767</w:t>
      </w:r>
      <w:r>
        <w:rPr>
          <w:rFonts w:hint="eastAsia" w:ascii="宋体" w:hAnsi="宋体" w:eastAsia="宋体" w:cs="宋体"/>
          <w:color w:val="auto"/>
          <w:sz w:val="24"/>
          <w:highlight w:val="none"/>
          <w:u w:val="none"/>
          <w:lang w:val="en-US" w:eastAsia="zh-CN"/>
        </w:rPr>
        <w:t xml:space="preserve">、0591-87623955（前台）      </w:t>
      </w:r>
    </w:p>
    <w:p>
      <w:pPr>
        <w:pStyle w:val="36"/>
        <w:keepNext w:val="0"/>
        <w:keepLines w:val="0"/>
        <w:pageBreakBefore w:val="0"/>
        <w:widowControl/>
        <w:suppressLineNumbers w:val="0"/>
        <w:kinsoku/>
        <w:overflowPunct/>
        <w:topLinePunct w:val="0"/>
        <w:autoSpaceDE/>
        <w:autoSpaceDN/>
        <w:bidi w:val="0"/>
        <w:adjustRightInd/>
        <w:snapToGrid/>
        <w:spacing w:before="0" w:beforeLines="0" w:beforeAutospacing="0" w:after="0" w:afterLines="0" w:afterAutospacing="0" w:line="360" w:lineRule="auto"/>
        <w:ind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highlight w:val="none"/>
          <w:u w:val="none"/>
          <w:lang w:val="en-US" w:eastAsia="zh-CN"/>
        </w:rPr>
        <w:t>8</w:t>
      </w:r>
      <w:r>
        <w:rPr>
          <w:rFonts w:hint="eastAsia" w:ascii="宋体" w:hAnsi="宋体" w:eastAsia="宋体" w:cs="宋体"/>
          <w:color w:val="auto"/>
          <w:sz w:val="24"/>
          <w:highlight w:val="none"/>
          <w:u w:val="none"/>
        </w:rPr>
        <w:t>、</w:t>
      </w:r>
      <w:r>
        <w:rPr>
          <w:rFonts w:hint="eastAsia" w:ascii="宋体" w:hAnsi="宋体" w:eastAsia="宋体" w:cs="宋体"/>
          <w:color w:val="auto"/>
          <w:spacing w:val="0"/>
          <w:sz w:val="24"/>
          <w:szCs w:val="24"/>
          <w:highlight w:val="none"/>
        </w:rPr>
        <w:t>保证金的银行账户信息</w:t>
      </w:r>
    </w:p>
    <w:tbl>
      <w:tblPr>
        <w:tblStyle w:val="40"/>
        <w:tblW w:w="9763"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7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9703" w:type="dxa"/>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auto"/>
                <w:kern w:val="0"/>
                <w:sz w:val="24"/>
                <w:highlight w:val="none"/>
                <w:lang w:eastAsia="zh-CN"/>
              </w:rPr>
            </w:pPr>
            <w:r>
              <w:rPr>
                <w:rFonts w:hint="eastAsia" w:ascii="宋体" w:hAnsi="宋体" w:eastAsia="宋体" w:cs="宋体"/>
                <w:b/>
                <w:bCs/>
                <w:color w:val="auto"/>
                <w:kern w:val="0"/>
                <w:sz w:val="24"/>
                <w:highlight w:val="none"/>
              </w:rPr>
              <w:t>账户</w:t>
            </w:r>
            <w:r>
              <w:rPr>
                <w:rFonts w:hint="eastAsia" w:ascii="宋体" w:hAnsi="宋体" w:cs="宋体"/>
                <w:b/>
                <w:bCs/>
                <w:color w:val="auto"/>
                <w:kern w:val="0"/>
                <w:sz w:val="24"/>
                <w:highlight w:val="none"/>
                <w:lang w:eastAsia="zh-CN"/>
              </w:rPr>
              <w:t>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9703" w:type="dxa"/>
            <w:tcBorders>
              <w:top w:val="single" w:color="auto" w:sz="0" w:space="0"/>
              <w:left w:val="outset" w:color="000000" w:sz="6" w:space="0"/>
              <w:bottom w:val="outset" w:color="000000" w:sz="6" w:space="0"/>
              <w:right w:val="outset" w:color="000000" w:sz="6" w:space="0"/>
            </w:tcBorders>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开户名称：福建省天海招标有限公司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9703" w:type="dxa"/>
            <w:tcBorders>
              <w:top w:val="single" w:color="auto" w:sz="0" w:space="0"/>
              <w:left w:val="outset" w:color="000000" w:sz="6" w:space="0"/>
              <w:bottom w:val="outset" w:color="000000" w:sz="6" w:space="0"/>
              <w:right w:val="outset" w:color="000000" w:sz="6" w:space="0"/>
            </w:tcBorders>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开户银行：兴业银行总行营业部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9703" w:type="dxa"/>
            <w:tcBorders>
              <w:top w:val="single" w:color="auto" w:sz="0" w:space="0"/>
              <w:left w:val="outset" w:color="000000" w:sz="6" w:space="0"/>
              <w:bottom w:val="outset" w:color="000000" w:sz="6" w:space="0"/>
              <w:right w:val="outset" w:color="000000" w:sz="6" w:space="0"/>
            </w:tcBorders>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银行账号：1170 1010 0100 1964 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80" w:hRule="atLeast"/>
          <w:tblCellSpacing w:w="15" w:type="dxa"/>
          <w:jc w:val="center"/>
        </w:trPr>
        <w:tc>
          <w:tcPr>
            <w:tcW w:w="9703" w:type="dxa"/>
            <w:tcBorders>
              <w:top w:val="single" w:color="auto" w:sz="0"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9703" w:type="dxa"/>
            <w:tcBorders>
              <w:top w:val="single" w:color="auto" w:sz="0" w:space="0"/>
              <w:left w:val="outset" w:color="000000" w:sz="6" w:space="0"/>
              <w:bottom w:val="outset" w:color="000000" w:sz="6" w:space="0"/>
              <w:right w:val="outset" w:color="000000" w:sz="6" w:space="0"/>
            </w:tcBorders>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8.</w:t>
            </w:r>
            <w:r>
              <w:rPr>
                <w:rFonts w:hint="eastAsia" w:ascii="宋体" w:hAnsi="宋体" w:eastAsia="宋体" w:cs="宋体"/>
                <w:color w:val="auto"/>
                <w:kern w:val="0"/>
                <w:sz w:val="24"/>
                <w:highlight w:val="none"/>
              </w:rPr>
              <w:t>1</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投标人应认真核对账户信息，将投标保证金汇入以上账户，并自行承担因汇错投标保证金而产生的一切后果。</w:t>
            </w:r>
          </w:p>
          <w:p>
            <w:pPr>
              <w:keepNext w:val="0"/>
              <w:keepLines w:val="0"/>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8.</w:t>
            </w:r>
            <w:r>
              <w:rPr>
                <w:rFonts w:hint="eastAsia" w:ascii="宋体" w:hAnsi="宋体" w:eastAsia="宋体" w:cs="宋体"/>
                <w:color w:val="auto"/>
                <w:kern w:val="0"/>
                <w:sz w:val="24"/>
                <w:highlight w:val="none"/>
              </w:rPr>
              <w:t>2投标人在转账或电汇的凭证上应按照以下格式注明，以便核对：“（招标编号：***、</w:t>
            </w:r>
            <w:r>
              <w:rPr>
                <w:rFonts w:hint="eastAsia" w:ascii="宋体" w:hAnsi="宋体" w:eastAsia="宋体" w:cs="宋体"/>
                <w:color w:val="auto"/>
                <w:kern w:val="0"/>
                <w:sz w:val="24"/>
                <w:highlight w:val="none"/>
                <w:lang w:eastAsia="zh-CN"/>
              </w:rPr>
              <w:t>项目名称</w:t>
            </w:r>
            <w:r>
              <w:rPr>
                <w:rFonts w:hint="eastAsia" w:ascii="宋体" w:hAnsi="宋体" w:eastAsia="宋体" w:cs="宋体"/>
                <w:color w:val="auto"/>
                <w:kern w:val="0"/>
                <w:sz w:val="24"/>
                <w:highlight w:val="none"/>
              </w:rPr>
              <w:t>：***）的投标保证金”。</w:t>
            </w:r>
          </w:p>
        </w:tc>
      </w:tr>
    </w:tbl>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、特别提示</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.1潜在投标人已详细审查全部招标文件，包括修改文件(如有的话)和有关附件，将自行承担因对全部招标文件理解不正确或误解而产生的相应后果。</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.2未在投标截止时间前送达的投标文件将被拒收。</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keepNext w:val="0"/>
        <w:keepLines w:val="0"/>
        <w:pageBreakBefore w:val="0"/>
        <w:kinsoku/>
        <w:overflowPunct/>
        <w:autoSpaceDE/>
        <w:autoSpaceDN/>
        <w:bidi w:val="0"/>
        <w:spacing w:line="360" w:lineRule="auto"/>
        <w:ind w:left="0" w:leftChars="0" w:firstLine="0" w:firstLineChars="0"/>
        <w:jc w:val="center"/>
        <w:textAlignment w:val="auto"/>
        <w:outlineLvl w:val="1"/>
        <w:rPr>
          <w:rFonts w:hint="eastAsia" w:ascii="宋体" w:hAnsi="宋体" w:eastAsia="宋体" w:cs="宋体"/>
          <w:b/>
          <w:bCs/>
          <w:color w:val="auto"/>
          <w:sz w:val="36"/>
          <w:szCs w:val="36"/>
          <w:highlight w:val="none"/>
        </w:rPr>
      </w:pPr>
      <w:bookmarkStart w:id="30" w:name="_Toc31570489"/>
      <w:bookmarkStart w:id="31" w:name="_Toc24970"/>
      <w:bookmarkStart w:id="32" w:name="_Toc528140578"/>
      <w:bookmarkStart w:id="33" w:name="_Toc5317"/>
      <w:r>
        <w:rPr>
          <w:rFonts w:hint="eastAsia" w:ascii="宋体" w:hAnsi="宋体" w:cs="宋体"/>
          <w:b/>
          <w:bCs/>
          <w:color w:val="auto"/>
          <w:sz w:val="36"/>
          <w:szCs w:val="36"/>
          <w:highlight w:val="none"/>
          <w:lang w:eastAsia="zh-CN"/>
        </w:rPr>
        <w:t>二、</w:t>
      </w:r>
      <w:r>
        <w:rPr>
          <w:rFonts w:hint="eastAsia" w:ascii="宋体" w:hAnsi="宋体" w:eastAsia="宋体" w:cs="宋体"/>
          <w:b/>
          <w:bCs/>
          <w:color w:val="auto"/>
          <w:sz w:val="36"/>
          <w:szCs w:val="36"/>
          <w:highlight w:val="none"/>
        </w:rPr>
        <w:t>招标项目一览表</w:t>
      </w:r>
      <w:bookmarkEnd w:id="30"/>
      <w:bookmarkEnd w:id="31"/>
      <w:bookmarkEnd w:id="32"/>
      <w:bookmarkEnd w:id="33"/>
    </w:p>
    <w:tbl>
      <w:tblPr>
        <w:tblStyle w:val="40"/>
        <w:tblW w:w="9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50"/>
        <w:gridCol w:w="1458"/>
        <w:gridCol w:w="1100"/>
        <w:gridCol w:w="1512"/>
        <w:gridCol w:w="1288"/>
        <w:gridCol w:w="1163"/>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19"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合同包号</w:t>
            </w:r>
          </w:p>
        </w:tc>
        <w:tc>
          <w:tcPr>
            <w:tcW w:w="85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品目号</w:t>
            </w:r>
          </w:p>
        </w:tc>
        <w:tc>
          <w:tcPr>
            <w:tcW w:w="1458"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110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151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最高限价单价（万元）</w:t>
            </w:r>
          </w:p>
        </w:tc>
        <w:tc>
          <w:tcPr>
            <w:tcW w:w="1288"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最高限价(万元)</w:t>
            </w:r>
          </w:p>
        </w:tc>
        <w:tc>
          <w:tcPr>
            <w:tcW w:w="1163"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保证金（万元）</w:t>
            </w:r>
          </w:p>
        </w:tc>
        <w:tc>
          <w:tcPr>
            <w:tcW w:w="148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19"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p>
        </w:tc>
        <w:tc>
          <w:tcPr>
            <w:tcW w:w="850"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-1</w:t>
            </w:r>
          </w:p>
        </w:tc>
        <w:tc>
          <w:tcPr>
            <w:tcW w:w="1458"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eastAsia="zh-CN"/>
              </w:rPr>
              <w:t>转运</w:t>
            </w:r>
            <w:r>
              <w:rPr>
                <w:rFonts w:hint="eastAsia" w:ascii="宋体" w:hAnsi="宋体" w:eastAsia="宋体" w:cs="宋体"/>
                <w:color w:val="auto"/>
                <w:sz w:val="24"/>
                <w:highlight w:val="none"/>
              </w:rPr>
              <w:t>救护车</w:t>
            </w:r>
          </w:p>
        </w:tc>
        <w:tc>
          <w:tcPr>
            <w:tcW w:w="1100"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100辆</w:t>
            </w:r>
          </w:p>
        </w:tc>
        <w:tc>
          <w:tcPr>
            <w:tcW w:w="1512"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12.</w:t>
            </w:r>
            <w:r>
              <w:rPr>
                <w:rFonts w:hint="eastAsia" w:ascii="宋体" w:hAnsi="宋体" w:cs="宋体"/>
                <w:color w:val="auto"/>
                <w:sz w:val="24"/>
                <w:highlight w:val="none"/>
                <w:lang w:val="en-US" w:eastAsia="zh-CN"/>
              </w:rPr>
              <w:t>77</w:t>
            </w:r>
          </w:p>
        </w:tc>
        <w:tc>
          <w:tcPr>
            <w:tcW w:w="1288"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1277</w:t>
            </w:r>
          </w:p>
        </w:tc>
        <w:tc>
          <w:tcPr>
            <w:tcW w:w="1163"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25.54</w:t>
            </w:r>
          </w:p>
        </w:tc>
        <w:tc>
          <w:tcPr>
            <w:tcW w:w="148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详见第三章招标内容及要求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2" w:type="dxa"/>
            <w:gridSpan w:val="8"/>
            <w:vAlign w:val="center"/>
          </w:tcPr>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报价方式: 本次采购项目以人民币报价；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2" w:type="dxa"/>
            <w:gridSpan w:val="8"/>
            <w:vAlign w:val="center"/>
          </w:tcPr>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交货地点：采购人指定地点</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2" w:type="dxa"/>
            <w:gridSpan w:val="8"/>
            <w:vAlign w:val="center"/>
          </w:tcPr>
          <w:p>
            <w:pPr>
              <w:keepNext w:val="0"/>
              <w:keepLines w:val="0"/>
              <w:pageBreakBefore w:val="0"/>
              <w:kinsoku/>
              <w:overflowPunct/>
              <w:autoSpaceDE/>
              <w:autoSpaceDN/>
              <w:bidi w:val="0"/>
              <w:spacing w:line="360" w:lineRule="auto"/>
              <w:jc w:val="left"/>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eastAsia="zh-CN"/>
              </w:rPr>
              <w:t>交货时间：</w:t>
            </w:r>
            <w:r>
              <w:rPr>
                <w:rFonts w:hint="eastAsia" w:ascii="宋体" w:hAnsi="宋体" w:cs="宋体"/>
                <w:color w:val="auto"/>
                <w:sz w:val="24"/>
                <w:highlight w:val="none"/>
                <w:lang w:val="zh-CN" w:eastAsia="zh-CN"/>
              </w:rPr>
              <w:t>合同签订后</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val="zh-CN" w:eastAsia="zh-CN"/>
              </w:rPr>
              <w:t>个工作日内整车交货（含</w:t>
            </w:r>
            <w:r>
              <w:rPr>
                <w:rFonts w:hint="eastAsia" w:ascii="宋体" w:hAnsi="宋体" w:cs="宋体"/>
                <w:color w:val="auto"/>
                <w:sz w:val="24"/>
                <w:highlight w:val="none"/>
                <w:lang w:val="en-US" w:eastAsia="zh-CN"/>
              </w:rPr>
              <w:t>车载医疗设备及信息系统</w:t>
            </w:r>
            <w:r>
              <w:rPr>
                <w:rFonts w:hint="eastAsia" w:ascii="宋体" w:hAnsi="宋体" w:cs="宋体"/>
                <w:color w:val="auto"/>
                <w:sz w:val="24"/>
                <w:highlight w:val="none"/>
                <w:lang w:val="zh-CN" w:eastAsia="zh-CN"/>
              </w:rPr>
              <w:t>安装完成）</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72" w:type="dxa"/>
            <w:gridSpan w:val="8"/>
            <w:vAlign w:val="center"/>
          </w:tcPr>
          <w:p>
            <w:pPr>
              <w:keepNext w:val="0"/>
              <w:keepLines w:val="0"/>
              <w:pageBreakBefore w:val="0"/>
              <w:kinsoku/>
              <w:overflowPunct/>
              <w:autoSpaceDE/>
              <w:autoSpaceDN/>
              <w:bidi w:val="0"/>
              <w:spacing w:line="360" w:lineRule="auto"/>
              <w:jc w:val="left"/>
              <w:textAlignment w:val="auto"/>
              <w:outlineLvl w:val="9"/>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其他要求：</w:t>
            </w:r>
          </w:p>
          <w:p>
            <w:pPr>
              <w:keepNext w:val="0"/>
              <w:keepLines w:val="0"/>
              <w:pageBreakBefore w:val="0"/>
              <w:kinsoku/>
              <w:overflowPunct/>
              <w:autoSpaceDE/>
              <w:autoSpaceDN/>
              <w:bidi w:val="0"/>
              <w:spacing w:line="360" w:lineRule="auto"/>
              <w:ind w:firstLine="480" w:firstLineChars="200"/>
              <w:jc w:val="left"/>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投标人按合同包投标，对同一个合同包内所有品目号内容投标时必须完整。不得仅对一个合同包中的部分货物进行投标，否则其投标将被拒绝。评标与授标以合同包为单位；</w:t>
            </w:r>
          </w:p>
          <w:p>
            <w:pPr>
              <w:keepNext w:val="0"/>
              <w:keepLines w:val="0"/>
              <w:pageBreakBefore w:val="0"/>
              <w:kinsoku/>
              <w:overflowPunct/>
              <w:autoSpaceDE/>
              <w:autoSpaceDN/>
              <w:bidi w:val="0"/>
              <w:spacing w:line="360" w:lineRule="auto"/>
              <w:ind w:firstLine="480" w:firstLineChars="200"/>
              <w:jc w:val="left"/>
              <w:textAlignment w:val="auto"/>
              <w:outlineLvl w:val="9"/>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2、本次招标项目的投标价格包含车身价、改装费、车载医疗设备及信息系统、随车设备费、包装费、安装调试费、运输费、培训费、技术服务费、质保期内的售后保障费用等所有费用</w:t>
            </w:r>
            <w:r>
              <w:rPr>
                <w:rFonts w:hint="eastAsia" w:ascii="宋体" w:hAnsi="宋体" w:cs="宋体"/>
                <w:color w:val="auto"/>
                <w:sz w:val="24"/>
                <w:highlight w:val="none"/>
                <w:lang w:eastAsia="zh-CN"/>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firstLine="420" w:firstLineChars="175"/>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3、</w:t>
            </w:r>
            <w:r>
              <w:rPr>
                <w:rFonts w:hint="eastAsia" w:ascii="宋体" w:hAnsi="宋体" w:eastAsia="宋体" w:cs="宋体"/>
                <w:sz w:val="24"/>
                <w:szCs w:val="24"/>
                <w:highlight w:val="none"/>
              </w:rPr>
              <w:t>中标人不得分包或转包他人，若发现分包或转包，采购人有权终止合同，并追究相应法律责任。中标人在合同期内未经采购人同意不得擅自中止合同。</w:t>
            </w:r>
          </w:p>
          <w:p>
            <w:pPr>
              <w:keepNext w:val="0"/>
              <w:keepLines w:val="0"/>
              <w:pageBreakBefore w:val="0"/>
              <w:kinsoku/>
              <w:overflowPunct/>
              <w:autoSpaceDE/>
              <w:autoSpaceDN/>
              <w:bidi w:val="0"/>
              <w:spacing w:line="360" w:lineRule="auto"/>
              <w:ind w:left="0" w:leftChars="0" w:firstLine="420" w:firstLineChars="175"/>
              <w:jc w:val="left"/>
              <w:textAlignment w:val="auto"/>
              <w:outlineLvl w:val="9"/>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投标人须注明所有投标设备（含随车配件）的产地、型号、品牌、厂家名称；</w:t>
            </w:r>
          </w:p>
          <w:p>
            <w:pPr>
              <w:keepNext w:val="0"/>
              <w:keepLines w:val="0"/>
              <w:pageBreakBefore w:val="0"/>
              <w:kinsoku/>
              <w:overflowPunct/>
              <w:autoSpaceDE/>
              <w:autoSpaceDN/>
              <w:bidi w:val="0"/>
              <w:spacing w:line="360" w:lineRule="auto"/>
              <w:ind w:left="0" w:leftChars="0" w:firstLine="420" w:firstLineChars="175"/>
              <w:jc w:val="left"/>
              <w:textAlignment w:val="auto"/>
              <w:outlineLvl w:val="9"/>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应提供随车常用工具、特殊工具或器械，其费用应包含在总价内；</w:t>
            </w:r>
          </w:p>
          <w:p>
            <w:pPr>
              <w:keepNext w:val="0"/>
              <w:keepLines w:val="0"/>
              <w:pageBreakBefore w:val="0"/>
              <w:kinsoku/>
              <w:overflowPunct/>
              <w:autoSpaceDE/>
              <w:autoSpaceDN/>
              <w:bidi w:val="0"/>
              <w:spacing w:line="360" w:lineRule="auto"/>
              <w:ind w:left="0" w:leftChars="0" w:firstLine="420" w:firstLineChars="175"/>
              <w:jc w:val="left"/>
              <w:textAlignment w:val="auto"/>
              <w:outlineLvl w:val="9"/>
              <w:rPr>
                <w:rFonts w:hint="eastAsia" w:ascii="宋体" w:hAnsi="宋体"/>
                <w:sz w:val="24"/>
                <w:szCs w:val="24"/>
                <w:highlight w:val="none"/>
                <w:lang w:eastAsia="zh-CN"/>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lang w:eastAsia="zh-CN"/>
              </w:rPr>
              <w:t>投标人报价时应按合同包品目号单价及总价进行报价。</w:t>
            </w:r>
          </w:p>
        </w:tc>
      </w:tr>
    </w:tbl>
    <w:p>
      <w:pPr>
        <w:pStyle w:val="38"/>
        <w:outlineLvl w:val="9"/>
        <w:rPr>
          <w:rFonts w:hint="eastAsia"/>
          <w:highlight w:val="none"/>
        </w:rPr>
      </w:pP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p>
    <w:p>
      <w:pPr>
        <w:rPr>
          <w:rFonts w:hint="eastAsia" w:ascii="宋体" w:hAnsi="宋体" w:eastAsia="宋体" w:cs="宋体"/>
          <w:b/>
          <w:color w:val="auto"/>
          <w:sz w:val="36"/>
          <w:highlight w:val="none"/>
        </w:rPr>
      </w:pPr>
      <w:bookmarkStart w:id="34" w:name="_Toc492718037"/>
      <w:r>
        <w:rPr>
          <w:rFonts w:hint="eastAsia" w:ascii="宋体" w:hAnsi="宋体" w:eastAsia="宋体" w:cs="宋体"/>
          <w:b/>
          <w:color w:val="auto"/>
          <w:sz w:val="36"/>
          <w:highlight w:val="none"/>
        </w:rPr>
        <w:br w:type="page"/>
      </w:r>
    </w:p>
    <w:p>
      <w:pPr>
        <w:keepNext w:val="0"/>
        <w:keepLines w:val="0"/>
        <w:pageBreakBefore w:val="0"/>
        <w:tabs>
          <w:tab w:val="left" w:pos="6930"/>
        </w:tabs>
        <w:kinsoku/>
        <w:overflowPunct/>
        <w:autoSpaceDE/>
        <w:autoSpaceDN/>
        <w:bidi w:val="0"/>
        <w:spacing w:line="360" w:lineRule="auto"/>
        <w:ind w:right="62"/>
        <w:jc w:val="center"/>
        <w:textAlignment w:val="auto"/>
        <w:outlineLvl w:val="0"/>
        <w:rPr>
          <w:rFonts w:hint="eastAsia" w:ascii="宋体" w:hAnsi="宋体" w:eastAsia="宋体" w:cs="宋体"/>
          <w:b/>
          <w:color w:val="auto"/>
          <w:sz w:val="24"/>
          <w:highlight w:val="none"/>
        </w:rPr>
      </w:pPr>
      <w:bookmarkStart w:id="35" w:name="_Toc9128"/>
      <w:r>
        <w:rPr>
          <w:rFonts w:hint="eastAsia" w:ascii="宋体" w:hAnsi="宋体" w:eastAsia="宋体" w:cs="宋体"/>
          <w:b/>
          <w:color w:val="auto"/>
          <w:sz w:val="36"/>
          <w:highlight w:val="none"/>
        </w:rPr>
        <w:t>第二章</w:t>
      </w:r>
      <w:r>
        <w:rPr>
          <w:rFonts w:hint="eastAsia" w:ascii="宋体" w:hAnsi="宋体" w:eastAsia="宋体" w:cs="宋体"/>
          <w:color w:val="auto"/>
          <w:sz w:val="24"/>
          <w:highlight w:val="none"/>
        </w:rPr>
        <w:t xml:space="preserve">  </w:t>
      </w:r>
      <w:r>
        <w:rPr>
          <w:rFonts w:hint="eastAsia" w:ascii="宋体" w:hAnsi="宋体" w:eastAsia="宋体" w:cs="宋体"/>
          <w:b/>
          <w:color w:val="auto"/>
          <w:sz w:val="36"/>
          <w:highlight w:val="none"/>
        </w:rPr>
        <w:t>投标人须知</w:t>
      </w:r>
      <w:bookmarkEnd w:id="34"/>
      <w:bookmarkEnd w:id="35"/>
    </w:p>
    <w:p>
      <w:pPr>
        <w:keepNext w:val="0"/>
        <w:keepLines w:val="0"/>
        <w:pageBreakBefore w:val="0"/>
        <w:kinsoku/>
        <w:overflowPunct/>
        <w:autoSpaceDE/>
        <w:autoSpaceDN/>
        <w:bidi w:val="0"/>
        <w:spacing w:line="360" w:lineRule="auto"/>
        <w:jc w:val="center"/>
        <w:textAlignment w:val="auto"/>
        <w:outlineLvl w:val="1"/>
        <w:rPr>
          <w:rFonts w:hint="eastAsia" w:ascii="宋体" w:hAnsi="宋体" w:eastAsia="宋体" w:cs="宋体"/>
          <w:b/>
          <w:color w:val="auto"/>
          <w:sz w:val="28"/>
          <w:szCs w:val="28"/>
          <w:highlight w:val="none"/>
        </w:rPr>
      </w:pPr>
      <w:bookmarkStart w:id="36" w:name="_Toc3312"/>
      <w:bookmarkStart w:id="37" w:name="_Toc492718038"/>
      <w:r>
        <w:rPr>
          <w:rFonts w:hint="eastAsia" w:ascii="宋体" w:hAnsi="宋体" w:eastAsia="宋体" w:cs="宋体"/>
          <w:b/>
          <w:color w:val="auto"/>
          <w:sz w:val="28"/>
          <w:szCs w:val="28"/>
          <w:highlight w:val="none"/>
        </w:rPr>
        <w:t>投标人须知前附表</w:t>
      </w:r>
      <w:bookmarkEnd w:id="36"/>
      <w:bookmarkEnd w:id="37"/>
    </w:p>
    <w:p>
      <w:pPr>
        <w:keepNext w:val="0"/>
        <w:keepLines w:val="0"/>
        <w:pageBreakBefore w:val="0"/>
        <w:kinsoku/>
        <w:overflowPunct/>
        <w:autoSpaceDE/>
        <w:autoSpaceDN/>
        <w:bidi w:val="0"/>
        <w:spacing w:line="360" w:lineRule="auto"/>
        <w:ind w:firstLine="525"/>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本须知前附表的条款号是与《投标人须知》中条款的项号相对应的。如果有矛盾的话，应以本须知前附表为准。 </w:t>
      </w:r>
    </w:p>
    <w:tbl>
      <w:tblPr>
        <w:tblStyle w:val="40"/>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80"/>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项号</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w:t>
            </w:r>
          </w:p>
        </w:tc>
        <w:tc>
          <w:tcPr>
            <w:tcW w:w="8276"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8276" w:type="dxa"/>
            <w:vAlign w:val="top"/>
          </w:tcPr>
          <w:p>
            <w:pPr>
              <w:pStyle w:val="22"/>
              <w:keepNext w:val="0"/>
              <w:keepLines w:val="0"/>
              <w:pageBreakBefore w:val="0"/>
              <w:kinsoku/>
              <w:overflowPunct/>
              <w:autoSpaceDE/>
              <w:autoSpaceDN/>
              <w:bidi w:val="0"/>
              <w:spacing w:line="360" w:lineRule="auto"/>
              <w:ind w:left="1217" w:hanging="1216" w:hangingChars="507"/>
              <w:textAlignment w:val="auto"/>
              <w:outlineLvl w:val="9"/>
              <w:rPr>
                <w:rFonts w:hint="eastAsia" w:ascii="宋体" w:hAnsi="宋体" w:eastAsia="宋体" w:cs="宋体"/>
                <w:color w:val="auto"/>
                <w:sz w:val="32"/>
                <w:szCs w:val="32"/>
                <w:highlight w:val="none"/>
                <w:u w:val="none"/>
              </w:rPr>
            </w:pPr>
            <w:r>
              <w:rPr>
                <w:rFonts w:hint="eastAsia" w:ascii="宋体" w:hAnsi="宋体" w:eastAsia="宋体" w:cs="宋体"/>
                <w:color w:val="auto"/>
                <w:sz w:val="24"/>
                <w:szCs w:val="24"/>
                <w:highlight w:val="none"/>
              </w:rPr>
              <w:t>项目名称：</w:t>
            </w:r>
            <w:r>
              <w:rPr>
                <w:rFonts w:hint="eastAsia" w:ascii="宋体" w:hAnsi="宋体" w:cs="宋体"/>
                <w:color w:val="000000"/>
                <w:sz w:val="24"/>
                <w:szCs w:val="22"/>
                <w:highlight w:val="none"/>
                <w:u w:val="none"/>
                <w:lang w:val="en-US" w:eastAsia="zh-CN"/>
              </w:rPr>
              <w:t xml:space="preserve"> </w:t>
            </w:r>
            <w:r>
              <w:rPr>
                <w:rFonts w:hint="eastAsia" w:ascii="宋体" w:hAnsi="宋体" w:cs="宋体"/>
                <w:color w:val="000000"/>
                <w:sz w:val="24"/>
                <w:szCs w:val="22"/>
                <w:highlight w:val="none"/>
                <w:u w:val="none"/>
              </w:rPr>
              <w:t>福建省</w:t>
            </w:r>
            <w:r>
              <w:rPr>
                <w:rFonts w:hint="eastAsia" w:ascii="宋体" w:hAnsi="宋体" w:eastAsia="宋体" w:cs="宋体"/>
                <w:color w:val="000000"/>
                <w:sz w:val="24"/>
                <w:szCs w:val="22"/>
                <w:highlight w:val="none"/>
                <w:u w:val="none"/>
                <w:lang w:eastAsia="zh-CN"/>
              </w:rPr>
              <w:t>部分卫生院</w:t>
            </w:r>
            <w:r>
              <w:rPr>
                <w:rFonts w:hint="eastAsia" w:ascii="宋体" w:hAnsi="宋体" w:cs="宋体"/>
                <w:color w:val="000000"/>
                <w:sz w:val="24"/>
                <w:szCs w:val="22"/>
                <w:highlight w:val="none"/>
                <w:u w:val="none"/>
              </w:rPr>
              <w:t>新冠肺炎</w:t>
            </w:r>
            <w:r>
              <w:rPr>
                <w:rFonts w:hint="eastAsia" w:ascii="宋体" w:hAnsi="宋体" w:cs="宋体"/>
                <w:color w:val="000000"/>
                <w:sz w:val="24"/>
                <w:szCs w:val="22"/>
                <w:highlight w:val="none"/>
                <w:u w:val="none"/>
                <w:lang w:eastAsia="zh-CN"/>
              </w:rPr>
              <w:t>疫情</w:t>
            </w:r>
            <w:r>
              <w:rPr>
                <w:rFonts w:hint="eastAsia" w:ascii="宋体" w:hAnsi="宋体" w:cs="宋体"/>
                <w:color w:val="000000"/>
                <w:sz w:val="24"/>
                <w:szCs w:val="22"/>
                <w:highlight w:val="none"/>
                <w:u w:val="none"/>
              </w:rPr>
              <w:t>防治</w:t>
            </w:r>
            <w:r>
              <w:rPr>
                <w:rFonts w:hint="eastAsia" w:ascii="宋体" w:hAnsi="宋体" w:eastAsia="宋体" w:cs="宋体"/>
                <w:color w:val="000000"/>
                <w:sz w:val="24"/>
                <w:szCs w:val="22"/>
                <w:highlight w:val="none"/>
                <w:u w:val="none"/>
                <w:lang w:eastAsia="zh-CN"/>
              </w:rPr>
              <w:t>转运</w:t>
            </w:r>
            <w:r>
              <w:rPr>
                <w:rFonts w:hint="eastAsia" w:ascii="宋体" w:hAnsi="宋体" w:cs="宋体"/>
                <w:color w:val="000000"/>
                <w:sz w:val="24"/>
                <w:szCs w:val="22"/>
                <w:highlight w:val="none"/>
                <w:u w:val="none"/>
              </w:rPr>
              <w:t>救护车采购项目</w:t>
            </w:r>
            <w:r>
              <w:rPr>
                <w:rFonts w:hint="eastAsia" w:ascii="宋体" w:hAnsi="宋体" w:cs="宋体"/>
                <w:color w:val="000000"/>
                <w:sz w:val="24"/>
                <w:szCs w:val="22"/>
                <w:highlight w:val="none"/>
                <w:u w:val="none"/>
                <w:lang w:val="en-US" w:eastAsia="zh-CN"/>
              </w:rPr>
              <w:t xml:space="preserve"> </w:t>
            </w:r>
          </w:p>
          <w:p>
            <w:pPr>
              <w:pStyle w:val="22"/>
              <w:keepNext w:val="0"/>
              <w:keepLines w:val="0"/>
              <w:pageBreakBefore w:val="0"/>
              <w:kinsoku/>
              <w:overflowPunct/>
              <w:autoSpaceDE/>
              <w:autoSpaceDN/>
              <w:bidi w:val="0"/>
              <w:spacing w:line="360" w:lineRule="auto"/>
              <w:ind w:left="1217" w:hanging="1216" w:hangingChars="507"/>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名称：福建省卫生健康委员会</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招标要求：详见</w:t>
            </w:r>
            <w:r>
              <w:rPr>
                <w:rFonts w:hint="eastAsia" w:ascii="宋体" w:hAnsi="宋体" w:eastAsia="宋体" w:cs="宋体"/>
                <w:color w:val="auto"/>
                <w:sz w:val="24"/>
                <w:highlight w:val="none"/>
                <w:lang w:eastAsia="zh-CN"/>
              </w:rPr>
              <w:t>第三章招标内容及要求</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招标编号：</w:t>
            </w:r>
            <w:r>
              <w:rPr>
                <w:rFonts w:hint="eastAsia" w:ascii="宋体" w:hAnsi="宋体" w:eastAsia="宋体" w:cs="宋体"/>
                <w:color w:val="auto"/>
                <w:sz w:val="24"/>
                <w:szCs w:val="24"/>
                <w:highlight w:val="none"/>
                <w:lang w:eastAsia="zh-CN"/>
              </w:rPr>
              <w:t>FJTH-6020200426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3.1</w:t>
            </w:r>
          </w:p>
        </w:tc>
        <w:tc>
          <w:tcPr>
            <w:tcW w:w="8276" w:type="dxa"/>
            <w:vAlign w:val="center"/>
          </w:tcPr>
          <w:p>
            <w:pPr>
              <w:keepNext w:val="0"/>
              <w:keepLines w:val="0"/>
              <w:pageBreakBefore w:val="0"/>
              <w:kinsoku/>
              <w:overflowPunct/>
              <w:autoSpaceDE/>
              <w:autoSpaceDN/>
              <w:bidi w:val="0"/>
              <w:snapToGrid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3.1资格条件：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3.1.</w:t>
            </w:r>
            <w:r>
              <w:rPr>
                <w:rFonts w:hint="eastAsia" w:ascii="宋体" w:hAnsi="宋体" w:eastAsia="宋体" w:cs="宋体"/>
                <w:color w:val="auto"/>
                <w:sz w:val="24"/>
                <w:highlight w:val="none"/>
              </w:rPr>
              <w:t>1.凡有能力提供本招标文件所述货物</w:t>
            </w:r>
            <w:r>
              <w:rPr>
                <w:rFonts w:hint="eastAsia" w:ascii="宋体" w:hAnsi="宋体" w:cs="宋体"/>
                <w:color w:val="auto"/>
                <w:sz w:val="24"/>
                <w:highlight w:val="none"/>
                <w:lang w:eastAsia="zh-CN"/>
              </w:rPr>
              <w:t>及</w:t>
            </w:r>
            <w:r>
              <w:rPr>
                <w:rFonts w:hint="eastAsia" w:ascii="宋体" w:hAnsi="宋体" w:eastAsia="宋体" w:cs="宋体"/>
                <w:color w:val="auto"/>
                <w:sz w:val="24"/>
                <w:highlight w:val="none"/>
                <w:lang w:eastAsia="zh-CN"/>
              </w:rPr>
              <w:t>服务的生产厂商或经销商均可能成为合格的投标人。需提交以下证明文件：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（1）投标人合格</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营业执照复印件；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（2）法定代表人身份证（正反面的复印件）；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（3）投标代表人身份证（正反面的复印件）；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（4）法定代表人授权书原件(投标代表是法定代表人无需)</w:t>
            </w:r>
            <w:r>
              <w:rPr>
                <w:rFonts w:hint="eastAsia" w:ascii="宋体" w:hAnsi="宋体" w:eastAsia="宋体" w:cs="宋体"/>
                <w:color w:val="auto"/>
                <w:sz w:val="24"/>
                <w:highlight w:val="none"/>
                <w:lang w:eastAsia="zh-CN"/>
              </w:rPr>
              <w:t>。</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3.1.2.</w:t>
            </w:r>
            <w:r>
              <w:rPr>
                <w:rFonts w:hint="eastAsia" w:ascii="宋体" w:hAnsi="宋体" w:eastAsia="宋体" w:cs="宋体"/>
                <w:color w:val="auto"/>
                <w:sz w:val="24"/>
                <w:highlight w:val="none"/>
              </w:rPr>
              <w:t>投标人所投车辆应列入国家工信部《道路机动车辆生产企业及产品公告》目录清单内的产品，提供公告打印页复印件</w:t>
            </w:r>
            <w:r>
              <w:rPr>
                <w:rFonts w:hint="eastAsia" w:ascii="宋体" w:hAnsi="宋体" w:eastAsia="宋体" w:cs="宋体"/>
                <w:color w:val="auto"/>
                <w:sz w:val="24"/>
                <w:highlight w:val="none"/>
                <w:lang w:eastAsia="zh-CN"/>
              </w:rPr>
              <w:t>；</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3.1.3.</w:t>
            </w:r>
            <w:r>
              <w:rPr>
                <w:rFonts w:hint="eastAsia" w:ascii="宋体" w:hAnsi="宋体" w:eastAsia="宋体" w:cs="宋体"/>
                <w:color w:val="auto"/>
                <w:sz w:val="24"/>
                <w:highlight w:val="none"/>
              </w:rPr>
              <w:t>投标人应按照国内医疗行业管理的规定：投标第二类医疗器械的投标人必须提供备案证明资料或医疗器械经营许可证书复印件或医疗器械生产许可证书复印件。投标第三类医疗器械的投标人如是制造商，则必须提供医疗器械经营许可证书复印件或医疗器械生产许可证书复印件。投标第三类医疗器械的投标人如不是制造商，则必须提供医疗器械经营许可证书复印件。</w:t>
            </w:r>
          </w:p>
          <w:p>
            <w:pPr>
              <w:keepNext w:val="0"/>
              <w:keepLines w:val="0"/>
              <w:pageBreakBefore w:val="0"/>
              <w:kinsoku/>
              <w:overflowPunct/>
              <w:autoSpaceDE/>
              <w:autoSpaceDN/>
              <w:bidi w:val="0"/>
              <w:spacing w:line="360" w:lineRule="auto"/>
              <w:ind w:firstLine="480" w:firstLineChars="200"/>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3.1.4.</w:t>
            </w:r>
            <w:r>
              <w:rPr>
                <w:rFonts w:hint="eastAsia" w:ascii="宋体" w:hAnsi="宋体" w:eastAsia="宋体" w:cs="宋体"/>
                <w:color w:val="auto"/>
                <w:sz w:val="24"/>
                <w:highlight w:val="none"/>
              </w:rPr>
              <w:t>投标人所投的随车医疗设备应按照国内医疗行业管理的规定： 产品若为第一类提供所投第一类医疗器械的备案证明资料，或第一类医疗器械的医疗器械注册证及其附件（医疗器械产品注册登记表或医疗器械产品生产制造认可表）复印件，产品若为第二类或第三类提供所投第二类、第三类医疗器械的医疗器械注册证及其附件（医疗器械产品注册登记表或医疗器械产品生产制造认可表）复印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本项目不接受联合体投标</w:t>
            </w:r>
            <w:r>
              <w:rPr>
                <w:rFonts w:hint="eastAsia" w:ascii="宋体" w:hAnsi="宋体" w:eastAsia="宋体" w:cs="宋体"/>
                <w:color w:val="auto"/>
                <w:sz w:val="24"/>
                <w:highlight w:val="none"/>
                <w:lang w:eastAsia="zh-CN"/>
              </w:rPr>
              <w:t>。</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3.1.</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.参加</w:t>
            </w:r>
            <w:r>
              <w:rPr>
                <w:rFonts w:hint="eastAsia" w:ascii="宋体" w:hAnsi="宋体" w:eastAsia="宋体" w:cs="宋体"/>
                <w:color w:val="auto"/>
                <w:sz w:val="24"/>
                <w:highlight w:val="none"/>
                <w:lang w:eastAsia="zh-CN"/>
              </w:rPr>
              <w:t>采购</w:t>
            </w:r>
            <w:r>
              <w:rPr>
                <w:rFonts w:hint="eastAsia" w:ascii="宋体" w:hAnsi="宋体" w:eastAsia="宋体" w:cs="宋体"/>
                <w:color w:val="auto"/>
                <w:sz w:val="24"/>
                <w:highlight w:val="none"/>
              </w:rPr>
              <w:t>活动前三年内无行贿犯罪记录的书面承诺（格式自拟）。</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3.1.</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.具备履行合同所必需的设备和专业技术能力的书面声明</w:t>
            </w:r>
            <w:r>
              <w:rPr>
                <w:rFonts w:hint="eastAsia" w:ascii="宋体" w:hAnsi="宋体" w:eastAsia="宋体" w:cs="宋体"/>
                <w:color w:val="auto"/>
                <w:sz w:val="24"/>
                <w:highlight w:val="none"/>
                <w:lang w:eastAsia="zh-CN"/>
              </w:rPr>
              <w:t>。</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3.1.</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投标人需提供财务状况报告，依法缴纳税收和社会保障资金的相关材料：</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财务状况报告：提供会计师事务所出具的2019年度财务审计报告；或者提供开户许可证和投标截止时间前六个月内基本开户银行出具的资信证明；或者提供财政部门认可的政府采购专业担保机构出具的投标担保函；</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依法缴纳税收的相关材料：提供投标截止时间前六个月任一个月的依法缴纳税收的凭据；或者提供依法免税的相应证明文件；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依法缴纳社会保障资金的相关材料：提供投标截止时间前六个月任一个月的依法缴纳社会保障资金的凭据；或者提供依法不需要缴纳社会保障资金的相应证明文件。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投标人需书面承诺近3年内在经营活动中没有重大违法记录的书面声明。投标人在投标截止时点前分别通过“信用中国”网站（www.creditchina.gov.cn）、中国政府采购网（www.ccgp.gov.cn）查询并打印相应的信用记录，投标人提供的查询结果应为其通过上述网站获取的信用信息查询结果原始页面的打印件（或截图）。</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注：以上相关资质证明文件应属法定有效期内的，若发生变更的，应按有关规定办理完变更手续后方可参加投标，并以发证机关核准的变更为准，否则按无效投标处理。其复印件应是清晰的并加盖投标人公章。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p>
        </w:tc>
        <w:tc>
          <w:tcPr>
            <w:tcW w:w="8276" w:type="dxa"/>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投标有效期：投标截止日结束后</w:t>
            </w:r>
            <w:r>
              <w:rPr>
                <w:rFonts w:hint="eastAsia" w:ascii="宋体" w:hAnsi="宋体" w:eastAsia="宋体" w:cs="宋体"/>
                <w:color w:val="auto"/>
                <w:sz w:val="24"/>
                <w:highlight w:val="none"/>
                <w:u w:val="single"/>
              </w:rPr>
              <w:t xml:space="preserve"> 90 </w:t>
            </w:r>
            <w:r>
              <w:rPr>
                <w:rFonts w:hint="eastAsia" w:ascii="宋体" w:hAnsi="宋体" w:eastAsia="宋体" w:cs="宋体"/>
                <w:color w:val="auto"/>
                <w:sz w:val="24"/>
                <w:highlight w:val="none"/>
              </w:rPr>
              <w:t>日历日。</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c>
          <w:tcPr>
            <w:tcW w:w="8276" w:type="dxa"/>
            <w:vAlign w:val="center"/>
          </w:tcPr>
          <w:p>
            <w:pPr>
              <w:keepNext w:val="0"/>
              <w:keepLines w:val="0"/>
              <w:pageBreakBefore w:val="0"/>
              <w:kinsoku/>
              <w:overflowPunct/>
              <w:autoSpaceDE/>
              <w:autoSpaceDN/>
              <w:bidi w:val="0"/>
              <w:spacing w:line="360" w:lineRule="auto"/>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投标文件递交地址：</w:t>
            </w:r>
            <w:r>
              <w:rPr>
                <w:rFonts w:hint="eastAsia" w:ascii="宋体" w:hAnsi="宋体" w:eastAsia="宋体" w:cs="宋体"/>
                <w:color w:val="auto"/>
                <w:sz w:val="24"/>
                <w:highlight w:val="none"/>
                <w:lang w:eastAsia="zh-CN"/>
              </w:rPr>
              <w:t>福建省福州市鼓楼区湖东路</w:t>
            </w:r>
            <w:r>
              <w:rPr>
                <w:rFonts w:hint="eastAsia" w:ascii="宋体" w:hAnsi="宋体" w:eastAsia="宋体" w:cs="宋体"/>
                <w:color w:val="auto"/>
                <w:sz w:val="24"/>
                <w:highlight w:val="none"/>
                <w:lang w:val="en-US" w:eastAsia="zh-CN"/>
              </w:rPr>
              <w:t>99号标力大厦12层</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接收人：</w:t>
            </w:r>
            <w:r>
              <w:rPr>
                <w:rFonts w:hint="eastAsia" w:ascii="宋体" w:hAnsi="宋体" w:eastAsia="宋体" w:cs="宋体"/>
                <w:color w:val="auto"/>
                <w:sz w:val="24"/>
                <w:highlight w:val="none"/>
                <w:lang w:eastAsia="zh-CN"/>
              </w:rPr>
              <w:t>福建省天海招标有限公司</w:t>
            </w:r>
            <w:r>
              <w:rPr>
                <w:rFonts w:hint="eastAsia" w:ascii="宋体" w:hAnsi="宋体" w:eastAsia="宋体" w:cs="宋体"/>
                <w:color w:val="auto"/>
                <w:sz w:val="24"/>
                <w:highlight w:val="none"/>
              </w:rPr>
              <w:t>工作人员</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投标截止时间：2020年</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 xml:space="preserve">06 </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 xml:space="preserve"> 15：00</w:t>
            </w: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c>
          <w:tcPr>
            <w:tcW w:w="8276" w:type="dxa"/>
            <w:vAlign w:val="center"/>
          </w:tcPr>
          <w:p>
            <w:pPr>
              <w:pStyle w:val="149"/>
              <w:keepNext w:val="0"/>
              <w:keepLines w:val="0"/>
              <w:pageBreakBefore w:val="0"/>
              <w:kinsoku/>
              <w:overflowPunct/>
              <w:autoSpaceDE/>
              <w:autoSpaceDN/>
              <w:bidi w:val="0"/>
              <w:adjustRightInd/>
              <w:spacing w:before="0" w:beforeLines="0" w:after="0" w:afterLines="0" w:line="360" w:lineRule="auto"/>
              <w:textAlignment w:val="auto"/>
              <w:outlineLvl w:val="9"/>
              <w:rPr>
                <w:rFonts w:hint="eastAsia" w:ascii="宋体" w:hAnsi="宋体" w:eastAsia="宋体" w:cs="宋体"/>
                <w:b w:val="0"/>
                <w:color w:val="auto"/>
                <w:szCs w:val="24"/>
                <w:highlight w:val="none"/>
              </w:rPr>
            </w:pPr>
            <w:r>
              <w:rPr>
                <w:rFonts w:hint="eastAsia" w:ascii="宋体" w:hAnsi="宋体" w:eastAsia="宋体" w:cs="宋体"/>
                <w:b w:val="0"/>
                <w:color w:val="auto"/>
                <w:szCs w:val="24"/>
                <w:highlight w:val="none"/>
              </w:rPr>
              <w:t>最高限价：</w:t>
            </w:r>
          </w:p>
          <w:p>
            <w:pPr>
              <w:pStyle w:val="149"/>
              <w:keepNext w:val="0"/>
              <w:keepLines w:val="0"/>
              <w:pageBreakBefore w:val="0"/>
              <w:kinsoku/>
              <w:overflowPunct/>
              <w:autoSpaceDE/>
              <w:autoSpaceDN/>
              <w:bidi w:val="0"/>
              <w:adjustRightInd/>
              <w:spacing w:before="0" w:beforeLines="0" w:after="0" w:afterLines="0"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b w:val="0"/>
                <w:color w:val="auto"/>
                <w:szCs w:val="24"/>
                <w:highlight w:val="none"/>
                <w:lang w:eastAsia="zh-CN"/>
              </w:rPr>
              <w:t>详见《</w:t>
            </w:r>
            <w:r>
              <w:rPr>
                <w:rFonts w:hint="eastAsia" w:ascii="宋体" w:hAnsi="宋体" w:eastAsia="宋体" w:cs="宋体"/>
                <w:b w:val="0"/>
                <w:color w:val="auto"/>
                <w:szCs w:val="24"/>
                <w:highlight w:val="none"/>
                <w:lang w:eastAsia="zh-CN"/>
              </w:rPr>
              <w:t>二、</w:t>
            </w:r>
            <w:r>
              <w:rPr>
                <w:rFonts w:hint="eastAsia" w:ascii="宋体" w:hAnsi="宋体" w:eastAsia="宋体" w:cs="宋体"/>
                <w:b w:val="0"/>
                <w:color w:val="auto"/>
                <w:szCs w:val="24"/>
                <w:highlight w:val="none"/>
              </w:rPr>
              <w:t>招标项目一览表</w:t>
            </w:r>
            <w:r>
              <w:rPr>
                <w:rFonts w:hint="eastAsia" w:ascii="宋体" w:hAnsi="宋体" w:cs="宋体"/>
                <w:b w:val="0"/>
                <w:color w:val="auto"/>
                <w:szCs w:val="24"/>
                <w:highlight w:val="none"/>
                <w:lang w:eastAsia="zh-CN"/>
              </w:rPr>
              <w:t>》，</w:t>
            </w:r>
            <w:r>
              <w:rPr>
                <w:rFonts w:hint="eastAsia" w:ascii="宋体" w:hAnsi="宋体" w:eastAsia="宋体" w:cs="宋体"/>
                <w:b w:val="0"/>
                <w:color w:val="auto"/>
                <w:szCs w:val="24"/>
                <w:highlight w:val="none"/>
              </w:rPr>
              <w:t>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6</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12.2</w:t>
            </w:r>
          </w:p>
        </w:tc>
        <w:tc>
          <w:tcPr>
            <w:tcW w:w="8276" w:type="dxa"/>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投标保证金：人民币</w:t>
            </w:r>
            <w:r>
              <w:rPr>
                <w:rFonts w:hint="eastAsia" w:ascii="宋体" w:hAnsi="宋体" w:eastAsia="宋体" w:cs="宋体"/>
                <w:b/>
                <w:bCs/>
                <w:color w:val="auto"/>
                <w:sz w:val="24"/>
                <w:highlight w:val="none"/>
                <w:lang w:val="en-US" w:eastAsia="zh-CN"/>
              </w:rPr>
              <w:fldChar w:fldCharType="begin"/>
            </w:r>
            <w:r>
              <w:rPr>
                <w:rFonts w:hint="eastAsia" w:ascii="宋体" w:hAnsi="宋体" w:eastAsia="宋体" w:cs="宋体"/>
                <w:b/>
                <w:bCs/>
                <w:color w:val="auto"/>
                <w:sz w:val="24"/>
                <w:highlight w:val="none"/>
                <w:lang w:val="en-US" w:eastAsia="zh-CN"/>
              </w:rPr>
              <w:instrText xml:space="preserve"> = 255400 \* CHINESENUM2 \* MERGEFORMAT </w:instrText>
            </w:r>
            <w:r>
              <w:rPr>
                <w:rFonts w:hint="eastAsia" w:ascii="宋体" w:hAnsi="宋体" w:eastAsia="宋体" w:cs="宋体"/>
                <w:b/>
                <w:bCs/>
                <w:color w:val="auto"/>
                <w:sz w:val="24"/>
                <w:highlight w:val="none"/>
                <w:lang w:val="en-US" w:eastAsia="zh-CN"/>
              </w:rPr>
              <w:fldChar w:fldCharType="separate"/>
            </w:r>
            <w:r>
              <w:rPr>
                <w:rFonts w:hint="eastAsia" w:ascii="宋体" w:hAnsi="宋体" w:eastAsia="宋体" w:cs="宋体"/>
                <w:b/>
                <w:bCs/>
                <w:color w:val="auto"/>
                <w:sz w:val="24"/>
                <w:highlight w:val="none"/>
                <w:lang w:eastAsia="zh-CN"/>
              </w:rPr>
              <w:t>贰拾伍万伍仟肆佰</w:t>
            </w:r>
            <w:r>
              <w:rPr>
                <w:rFonts w:hint="eastAsia" w:ascii="宋体" w:hAnsi="宋体" w:eastAsia="宋体" w:cs="宋体"/>
                <w:b/>
                <w:bCs/>
                <w:color w:val="auto"/>
                <w:sz w:val="24"/>
                <w:highlight w:val="none"/>
                <w:lang w:val="en-US" w:eastAsia="zh-CN"/>
              </w:rPr>
              <w:fldChar w:fldCharType="end"/>
            </w:r>
            <w:r>
              <w:rPr>
                <w:rFonts w:hint="eastAsia" w:ascii="宋体" w:hAnsi="宋体" w:eastAsia="宋体" w:cs="宋体"/>
                <w:b/>
                <w:bCs/>
                <w:color w:val="auto"/>
                <w:sz w:val="24"/>
                <w:highlight w:val="none"/>
                <w:lang w:eastAsia="zh-CN"/>
              </w:rPr>
              <w:t>元整（￥</w:t>
            </w:r>
            <w:r>
              <w:rPr>
                <w:rFonts w:hint="eastAsia" w:ascii="宋体" w:hAnsi="宋体" w:eastAsia="宋体" w:cs="宋体"/>
                <w:b/>
                <w:bCs/>
                <w:color w:val="auto"/>
                <w:sz w:val="24"/>
                <w:highlight w:val="none"/>
                <w:lang w:val="en-US" w:eastAsia="zh-CN"/>
              </w:rPr>
              <w:t>255400元</w:t>
            </w:r>
            <w:r>
              <w:rPr>
                <w:rFonts w:hint="eastAsia" w:ascii="宋体" w:hAnsi="宋体" w:eastAsia="宋体" w:cs="宋体"/>
                <w:b/>
                <w:bCs/>
                <w:color w:val="auto"/>
                <w:sz w:val="24"/>
                <w:highlight w:val="none"/>
                <w:lang w:eastAsia="zh-CN"/>
              </w:rPr>
              <w:t>）</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    投标保证金须以公司名义以支票、汇票、转账等非现金形式提交，不直接接受现金、现金存款，以投标截止时间前到达本公司账户为准。投标人未按照招标文件上述要求提交投标保证金的，投标无效。投标人在缴纳保证金时需在汇款用途或摘要栏上注明所投项目的招标编号或项目名称。</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    退保证金手续：如为中标人，需将所签订的合同原件以及《退回投标保证金的申请函》送到我司后方给予办理退还投标保证金；如未中标，依相关规定可以退回时，则请将《退回投标保证金的申请函》送达我司后给予办理退还投标保证金。</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lang w:eastAsia="zh-CN"/>
              </w:rPr>
              <w:t>投标人缴交投标保证金专用账户：</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    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名：福建省天海招标有限公司</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账</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号：1170 1010 0100 1964 56</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开户行：兴业银行总行营业部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7</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c>
          <w:tcPr>
            <w:tcW w:w="8276" w:type="dxa"/>
            <w:vAlign w:val="center"/>
          </w:tcPr>
          <w:p>
            <w:pPr>
              <w:keepNext w:val="0"/>
              <w:keepLines w:val="0"/>
              <w:pageBreakBefore w:val="0"/>
              <w:numPr>
                <w:ilvl w:val="0"/>
                <w:numId w:val="0"/>
              </w:numPr>
              <w:kinsoku/>
              <w:overflowPunct/>
              <w:autoSpaceDE/>
              <w:autoSpaceDN/>
              <w:bidi w:val="0"/>
              <w:spacing w:line="360" w:lineRule="auto"/>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招标代理服务费：本项目的招标代理服务费(中标服务费)向</w:t>
            </w:r>
            <w:r>
              <w:rPr>
                <w:rFonts w:hint="eastAsia" w:ascii="宋体" w:hAnsi="宋体" w:eastAsia="宋体" w:cs="宋体"/>
                <w:color w:val="auto"/>
                <w:sz w:val="24"/>
                <w:highlight w:val="none"/>
                <w:lang w:eastAsia="zh-CN"/>
              </w:rPr>
              <w:t>中标人收取</w:t>
            </w:r>
            <w:r>
              <w:rPr>
                <w:rFonts w:hint="eastAsia" w:ascii="宋体" w:hAnsi="宋体" w:eastAsia="宋体" w:cs="宋体"/>
                <w:color w:val="auto"/>
                <w:sz w:val="24"/>
                <w:highlight w:val="none"/>
              </w:rPr>
              <w:t>。</w:t>
            </w:r>
          </w:p>
          <w:p>
            <w:pPr>
              <w:keepNext w:val="0"/>
              <w:keepLines w:val="0"/>
              <w:pageBreakBefore w:val="0"/>
              <w:numPr>
                <w:ilvl w:val="0"/>
                <w:numId w:val="0"/>
              </w:numPr>
              <w:kinsoku/>
              <w:overflowPunct/>
              <w:autoSpaceDE/>
              <w:autoSpaceDN/>
              <w:bidi w:val="0"/>
              <w:spacing w:line="360" w:lineRule="auto"/>
              <w:ind w:firstLine="240" w:firstLineChars="1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招标代理服务费收取标准：</w:t>
            </w:r>
            <w:r>
              <w:rPr>
                <w:rFonts w:hint="eastAsia" w:ascii="宋体" w:hAnsi="宋体" w:eastAsia="宋体" w:cs="宋体"/>
                <w:color w:val="auto"/>
                <w:sz w:val="24"/>
                <w:highlight w:val="none"/>
                <w:lang w:eastAsia="zh-CN"/>
              </w:rPr>
              <w:t>本次招标代理服务费以项目总价为计费</w:t>
            </w:r>
            <w:r>
              <w:rPr>
                <w:rFonts w:hint="eastAsia" w:ascii="宋体" w:hAnsi="宋体" w:cs="宋体"/>
                <w:color w:val="auto"/>
                <w:sz w:val="24"/>
                <w:highlight w:val="none"/>
                <w:lang w:eastAsia="zh-CN"/>
              </w:rPr>
              <w:t>基准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按合同包的合同总额</w:t>
            </w:r>
            <w:r>
              <w:rPr>
                <w:rFonts w:hint="eastAsia" w:ascii="宋体" w:hAnsi="宋体" w:cs="宋体"/>
                <w:color w:val="auto"/>
                <w:sz w:val="24"/>
                <w:highlight w:val="none"/>
                <w:lang w:eastAsia="zh-CN"/>
              </w:rPr>
              <w:t>下浮</w:t>
            </w: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收取，具体计算公式如下：</w:t>
            </w:r>
          </w:p>
          <w:p>
            <w:pPr>
              <w:keepNext w:val="0"/>
              <w:keepLines w:val="0"/>
              <w:pageBreakBefore w:val="0"/>
              <w:numPr>
                <w:ilvl w:val="0"/>
                <w:numId w:val="0"/>
              </w:numPr>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100万元以下部分的代理费按1.</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rPr>
              <w:t>%收取；</w:t>
            </w:r>
          </w:p>
          <w:p>
            <w:pPr>
              <w:keepNext w:val="0"/>
              <w:keepLines w:val="0"/>
              <w:pageBreakBefore w:val="0"/>
              <w:numPr>
                <w:ilvl w:val="0"/>
                <w:numId w:val="0"/>
              </w:numPr>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100-500万元部分的代理费按</w:t>
            </w:r>
            <w:r>
              <w:rPr>
                <w:rFonts w:hint="eastAsia" w:ascii="宋体" w:hAnsi="宋体" w:cs="宋体"/>
                <w:color w:val="auto"/>
                <w:sz w:val="24"/>
                <w:highlight w:val="none"/>
                <w:lang w:val="en-US" w:eastAsia="zh-CN"/>
              </w:rPr>
              <w:t>0.77</w:t>
            </w:r>
            <w:r>
              <w:rPr>
                <w:rFonts w:hint="eastAsia" w:ascii="宋体" w:hAnsi="宋体" w:eastAsia="宋体" w:cs="宋体"/>
                <w:color w:val="auto"/>
                <w:sz w:val="24"/>
                <w:highlight w:val="none"/>
              </w:rPr>
              <w:t>%收取；</w:t>
            </w:r>
          </w:p>
          <w:p>
            <w:pPr>
              <w:keepNext w:val="0"/>
              <w:keepLines w:val="0"/>
              <w:pageBreakBefore w:val="0"/>
              <w:numPr>
                <w:ilvl w:val="0"/>
                <w:numId w:val="0"/>
              </w:numPr>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500-1000万元部分的代理费按0.</w:t>
            </w:r>
            <w:r>
              <w:rPr>
                <w:rFonts w:hint="eastAsia" w:ascii="宋体" w:hAnsi="宋体" w:cs="宋体"/>
                <w:color w:val="auto"/>
                <w:sz w:val="24"/>
                <w:highlight w:val="none"/>
                <w:lang w:val="en-US" w:eastAsia="zh-CN"/>
              </w:rPr>
              <w:t>56</w:t>
            </w:r>
            <w:r>
              <w:rPr>
                <w:rFonts w:hint="eastAsia" w:ascii="宋体" w:hAnsi="宋体" w:eastAsia="宋体" w:cs="宋体"/>
                <w:color w:val="auto"/>
                <w:sz w:val="24"/>
                <w:highlight w:val="none"/>
              </w:rPr>
              <w:t>%收取；</w:t>
            </w:r>
          </w:p>
          <w:p>
            <w:pPr>
              <w:keepNext w:val="0"/>
              <w:keepLines w:val="0"/>
              <w:pageBreakBefore w:val="0"/>
              <w:numPr>
                <w:ilvl w:val="0"/>
                <w:numId w:val="0"/>
              </w:numPr>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1000-5000万元部分的代理费按0.</w:t>
            </w:r>
            <w:r>
              <w:rPr>
                <w:rFonts w:hint="eastAsia" w:ascii="宋体" w:hAnsi="宋体" w:cs="宋体"/>
                <w:color w:val="auto"/>
                <w:sz w:val="24"/>
                <w:highlight w:val="none"/>
                <w:lang w:val="en-US" w:eastAsia="zh-CN"/>
              </w:rPr>
              <w:t>35</w:t>
            </w:r>
            <w:r>
              <w:rPr>
                <w:rFonts w:hint="eastAsia" w:ascii="宋体" w:hAnsi="宋体" w:eastAsia="宋体" w:cs="宋体"/>
                <w:color w:val="auto"/>
                <w:sz w:val="24"/>
                <w:highlight w:val="none"/>
              </w:rPr>
              <w:t>%收取；</w:t>
            </w:r>
          </w:p>
          <w:p>
            <w:pPr>
              <w:keepNext w:val="0"/>
              <w:keepLines w:val="0"/>
              <w:pageBreakBefore w:val="0"/>
              <w:kinsoku/>
              <w:overflowPunct/>
              <w:autoSpaceDE/>
              <w:autoSpaceDN/>
              <w:bidi w:val="0"/>
              <w:spacing w:line="360" w:lineRule="auto"/>
              <w:ind w:firstLine="240" w:firstLineChars="1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招标代理服务费收取方式：中标人应在领取中标通知书的同时一次性向招标代理机构缴清招标代理服务费。招标代理服务费以银行转账、电汇、汇票或现金等付款方式。</w:t>
            </w:r>
          </w:p>
          <w:p>
            <w:pPr>
              <w:keepNext w:val="0"/>
              <w:keepLines w:val="0"/>
              <w:pageBreakBefore w:val="0"/>
              <w:kinsoku/>
              <w:overflowPunct/>
              <w:autoSpaceDE/>
              <w:autoSpaceDN/>
              <w:bidi w:val="0"/>
              <w:spacing w:line="360" w:lineRule="auto"/>
              <w:ind w:firstLine="240" w:firstLineChars="1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)招标代理服务费缴交银行帐号：</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开户银行：中国建行银行股份有限公司漳州分行</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开户名称：福建省天海招标有限公司漳州分公司</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帐    号： 3505 0166 2433 0000 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8</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23.1</w:t>
            </w:r>
          </w:p>
        </w:tc>
        <w:tc>
          <w:tcPr>
            <w:tcW w:w="8276" w:type="dxa"/>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招标项目监督部门：</w:t>
            </w:r>
            <w:r>
              <w:rPr>
                <w:rFonts w:hint="eastAsia" w:ascii="宋体" w:hAnsi="宋体" w:cs="宋体"/>
                <w:color w:val="auto"/>
                <w:sz w:val="24"/>
                <w:highlight w:val="none"/>
                <w:lang w:eastAsia="zh-CN"/>
              </w:rPr>
              <w:t>采购方监督部门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9</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8276" w:type="dxa"/>
            <w:vAlign w:val="center"/>
          </w:tcPr>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评标方法、评标标准和废标条款：详见附件A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4" w:type="dxa"/>
            <w:vAlign w:val="center"/>
          </w:tcPr>
          <w:p>
            <w:pPr>
              <w:keepNext w:val="0"/>
              <w:keepLines w:val="0"/>
              <w:pageBreakBefore w:val="0"/>
              <w:kinsoku/>
              <w:overflowPunct/>
              <w:autoSpaceDE/>
              <w:autoSpaceDN/>
              <w:bidi w:val="0"/>
              <w:spacing w:line="360" w:lineRule="auto"/>
              <w:jc w:val="left"/>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c>
          <w:tcPr>
            <w:tcW w:w="8276" w:type="dxa"/>
            <w:vAlign w:val="center"/>
          </w:tcPr>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重大偏差与细微偏差：</w:t>
            </w:r>
          </w:p>
          <w:p>
            <w:pPr>
              <w:keepNext w:val="0"/>
              <w:keepLines w:val="0"/>
              <w:pageBreakBefore w:val="0"/>
              <w:kinsoku/>
              <w:overflowPunct/>
              <w:autoSpaceDE/>
              <w:autoSpaceDN/>
              <w:bidi w:val="0"/>
              <w:spacing w:line="360" w:lineRule="auto"/>
              <w:ind w:firstLine="480"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以下为重大偏差与细微偏差的条款，请各投标人认真审阅。</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1．重大偏差：</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（1）投标文件未按招标文件要求加盖公章并由法定代表人或其书面授权的代理人签字的；</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（2）投标文件载明的招标项目完成期限超过招标文件规定的；</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（3）明显不符合技术规格、技术标准的要求；</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（4）投标文件载明的货物包装方式、检验标准和方法、产品配置等不符合招标文件的要求；</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（5）投标文件中附有</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不能接受的条件；</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（6）不符合招标文件中规定的其他实质性条款；</w:t>
            </w:r>
          </w:p>
          <w:p>
            <w:pPr>
              <w:keepNext w:val="0"/>
              <w:keepLines w:val="0"/>
              <w:pageBreakBefore w:val="0"/>
              <w:kinsoku/>
              <w:overflowPunct/>
              <w:autoSpaceDE/>
              <w:autoSpaceDN/>
              <w:bidi w:val="0"/>
              <w:spacing w:line="360" w:lineRule="auto"/>
              <w:ind w:firstLine="482" w:firstLineChars="200"/>
              <w:jc w:val="left"/>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注：投标人的投标文件若有上述情形之一的，认定为未对招标文件作出实质性响应，作无效投标处理。</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细微偏差：投标文件在实质上响应招标文件要求，但在个别地方存在漏项或者提供了不完整的技术信息和数据等情况，并且补正这些遗漏或者不完整不会对其他投标人造成不公平的结果。细微偏差不影响投标文件的有效性，如：（1）有明显文字和计算错误的内容；（2）同类问题出现前后文字表述不一致；（3）含义不明确的表述。</w:t>
            </w:r>
          </w:p>
          <w:p>
            <w:pPr>
              <w:keepNext w:val="0"/>
              <w:keepLines w:val="0"/>
              <w:pageBreakBefore w:val="0"/>
              <w:kinsoku/>
              <w:overflowPunct/>
              <w:autoSpaceDE/>
              <w:autoSpaceDN/>
              <w:bidi w:val="0"/>
              <w:spacing w:line="360" w:lineRule="auto"/>
              <w:ind w:firstLine="480"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评标委员会应当书面要求存在细微偏差的投标人在评标结束前予以补正，补正的程序和方法按照招标文件投标人须知第1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条“投标文件的澄清”的规定执行；无法补正的，可在评审时对细微偏差作不利于该投标人的认定。</w:t>
            </w:r>
          </w:p>
          <w:p>
            <w:pPr>
              <w:keepNext w:val="0"/>
              <w:keepLines w:val="0"/>
              <w:pageBreakBefore w:val="0"/>
              <w:kinsoku/>
              <w:overflowPunct/>
              <w:autoSpaceDE/>
              <w:autoSpaceDN/>
              <w:bidi w:val="0"/>
              <w:spacing w:line="360" w:lineRule="auto"/>
              <w:jc w:val="left"/>
              <w:textAlignment w:val="auto"/>
              <w:outlineLvl w:val="9"/>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评委会判定重大偏差、细微偏差是依据投标文件，而不寻求其他的外部证据</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c>
          <w:tcPr>
            <w:tcW w:w="8276" w:type="dxa"/>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实质性要求和条件：</w:t>
            </w:r>
          </w:p>
          <w:p>
            <w:pPr>
              <w:keepNext w:val="0"/>
              <w:keepLines w:val="0"/>
              <w:pageBreakBefore w:val="0"/>
              <w:kinsoku/>
              <w:wordWrap w:val="0"/>
              <w:overflowPunct/>
              <w:topLine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投标人须保障</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在使用该货物或其任何一部分时不受到第三方关于侵犯专利权、商标权或工业设计权等知识产权的指控。如果任何第三方提出侵权指控与</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无关，投标人须与第三方交涉并承担可能发生的责任与一切费用。如</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因此而遭致损失的，投标人应赔偿该损失。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13.1</w:t>
            </w:r>
          </w:p>
        </w:tc>
        <w:tc>
          <w:tcPr>
            <w:tcW w:w="8276" w:type="dxa"/>
            <w:vAlign w:val="center"/>
          </w:tcPr>
          <w:p>
            <w:pPr>
              <w:keepNext w:val="0"/>
              <w:keepLines w:val="0"/>
              <w:pageBreakBefore w:val="0"/>
              <w:kinsoku/>
              <w:wordWrap w:val="0"/>
              <w:overflowPunct/>
              <w:topLine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投标文件须分为资格及资信证明部分、报价部分和技术商务部分，装订时要求资格及资信证明部分、报价部分和技术商务部分均须单独胶装装订并密封。投标文件正本壹份，副本</w:t>
            </w:r>
            <w:r>
              <w:rPr>
                <w:rFonts w:hint="eastAsia" w:ascii="宋体" w:hAnsi="宋体" w:cs="宋体"/>
                <w:color w:val="auto"/>
                <w:sz w:val="24"/>
                <w:highlight w:val="none"/>
                <w:lang w:eastAsia="zh-CN"/>
              </w:rPr>
              <w:t>柒</w:t>
            </w:r>
            <w:r>
              <w:rPr>
                <w:rFonts w:hint="eastAsia" w:ascii="宋体" w:hAnsi="宋体" w:eastAsia="宋体" w:cs="宋体"/>
                <w:color w:val="auto"/>
                <w:sz w:val="24"/>
                <w:highlight w:val="none"/>
              </w:rPr>
              <w:t>份，电子文件一份，必须用A4幅面纸张打印装订（含产品彩页），应编制封面、目录、页码，必须用胶装（为永久性、无破坏不可拆分）装订成册，须加盖骑缝章或逐页盖章，并在相应位置签名并加盖公章，并在封面标明“正本”字样；投标文件副本应与正本一致，可以用正本的完整复印件，并在封面标明“副本”字样。正本与副本内容如有不一致之处，则以正本为准。</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注：若未按要求装订</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或投标文件资格及资信证明部分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技术商务部分出现投标报价</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，视为无效投标。</w:t>
            </w:r>
            <w:r>
              <w:rPr>
                <w:rFonts w:hint="eastAsia" w:ascii="宋体" w:hAnsi="宋体" w:eastAsia="宋体" w:cs="宋体"/>
                <w:color w:val="auto"/>
                <w:sz w:val="24"/>
                <w:highlight w:val="none"/>
                <w:lang w:val="en-US" w:eastAsia="zh-CN"/>
              </w:rPr>
              <w:t>]</w:t>
            </w:r>
          </w:p>
          <w:p>
            <w:pPr>
              <w:keepNext w:val="0"/>
              <w:keepLines w:val="0"/>
              <w:pageBreakBefore w:val="0"/>
              <w:kinsoku/>
              <w:wordWrap w:val="0"/>
              <w:overflowPunct/>
              <w:topLine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随投标文件一同提交的电子文件：含资格及资信证明部分、报价部分、技术商务部分的电子文件（用U盘或光盘，无病毒），其中所有文件不留密码，资质文件和证书等可用扫描以图片方式保存，此电子文件单独密封递交，外密封袋上须注明投标人名称并加盖公章。</w:t>
            </w:r>
          </w:p>
          <w:p>
            <w:pPr>
              <w:keepNext w:val="0"/>
              <w:keepLines w:val="0"/>
              <w:pageBreakBefore w:val="0"/>
              <w:kinsoku/>
              <w:wordWrap w:val="0"/>
              <w:overflowPunct/>
              <w:topLinePunct/>
              <w:autoSpaceDE/>
              <w:autoSpaceDN/>
              <w:bidi w:val="0"/>
              <w:spacing w:line="360" w:lineRule="auto"/>
              <w:ind w:firstLine="480" w:firstLineChars="200"/>
              <w:textAlignment w:val="auto"/>
              <w:outlineLvl w:val="9"/>
              <w:rPr>
                <w:rFonts w:hint="eastAsia" w:ascii="宋体" w:hAnsi="宋体" w:eastAsia="宋体" w:cs="宋体"/>
                <w:b/>
                <w:color w:val="auto"/>
                <w:szCs w:val="24"/>
                <w:highlight w:val="none"/>
                <w:lang w:eastAsia="zh-CN"/>
              </w:rPr>
            </w:pPr>
            <w:r>
              <w:rPr>
                <w:rFonts w:hint="eastAsia" w:ascii="宋体" w:hAnsi="宋体" w:eastAsia="宋体" w:cs="宋体"/>
                <w:color w:val="auto"/>
                <w:sz w:val="24"/>
                <w:highlight w:val="none"/>
                <w:lang w:eastAsia="zh-CN"/>
              </w:rPr>
              <w:t>注：</w:t>
            </w:r>
            <w:r>
              <w:rPr>
                <w:rFonts w:hint="eastAsia" w:ascii="宋体" w:hAnsi="宋体" w:eastAsia="宋体" w:cs="宋体"/>
                <w:color w:val="auto"/>
                <w:sz w:val="24"/>
                <w:highlight w:val="none"/>
              </w:rPr>
              <w:t>投标文件的正本和全部副本均应使用不能擦去的墨料或墨水打印、书写或复印，并由法定代表人或其授权的代表签署，盖投标人公章。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13</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14.1</w:t>
            </w:r>
          </w:p>
        </w:tc>
        <w:tc>
          <w:tcPr>
            <w:tcW w:w="8276" w:type="dxa"/>
            <w:vAlign w:val="center"/>
          </w:tcPr>
          <w:p>
            <w:pPr>
              <w:keepNext w:val="0"/>
              <w:keepLines w:val="0"/>
              <w:pageBreakBefore w:val="0"/>
              <w:kinsoku/>
              <w:wordWrap w:val="0"/>
              <w:overflowPunct/>
              <w:topLine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投标文件的密封、标记和递交</w:t>
            </w:r>
          </w:p>
          <w:p>
            <w:pPr>
              <w:keepNext w:val="0"/>
              <w:keepLines w:val="0"/>
              <w:pageBreakBefore w:val="0"/>
              <w:kinsoku/>
              <w:wordWrap w:val="0"/>
              <w:overflowPunct/>
              <w:topLine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投标人应将资格及资信证明部分正本、资格及资信证明部分副本、报价部分正本、报价部分副本、技术商务部分正本、技术商务部分副本（资格及资信证明部分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技术商务部分中</w:t>
            </w:r>
            <w:r>
              <w:rPr>
                <w:rFonts w:hint="eastAsia" w:ascii="宋体" w:hAnsi="宋体" w:eastAsia="宋体" w:cs="宋体"/>
                <w:color w:val="auto"/>
                <w:sz w:val="24"/>
                <w:highlight w:val="none"/>
                <w:lang w:eastAsia="zh-CN"/>
              </w:rPr>
              <w:t>均</w:t>
            </w:r>
            <w:r>
              <w:rPr>
                <w:rFonts w:hint="eastAsia" w:ascii="宋体" w:hAnsi="宋体" w:eastAsia="宋体" w:cs="宋体"/>
                <w:color w:val="auto"/>
                <w:sz w:val="24"/>
                <w:highlight w:val="none"/>
              </w:rPr>
              <w:t>不得出现与报价有关的内容）、电子文件分开装袋密封，并标明招标编号、投标人名称、项目名称及“正本”或“副本”字样。投标文件未密封将导致投标被拒绝。</w:t>
            </w:r>
          </w:p>
          <w:p>
            <w:pPr>
              <w:keepNext w:val="0"/>
              <w:keepLines w:val="0"/>
              <w:pageBreakBefore w:val="0"/>
              <w:kinsoku/>
              <w:wordWrap w:val="0"/>
              <w:overflowPunct/>
              <w:topLine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每一信封密封处应注明“于</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2020年05月06日 15：00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之前（指投标邀请中规定的开标日期及时间）不准启封”的字样，并加盖投标人公章。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c>
          <w:tcPr>
            <w:tcW w:w="8276" w:type="dxa"/>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无效投标及废标条款：</w:t>
            </w:r>
          </w:p>
          <w:p>
            <w:pPr>
              <w:keepNext w:val="0"/>
              <w:keepLines w:val="0"/>
              <w:pageBreakBefore w:val="0"/>
              <w:kinsoku/>
              <w:overflowPunct/>
              <w:autoSpaceDE/>
              <w:autoSpaceDN/>
              <w:bidi w:val="0"/>
              <w:spacing w:line="360" w:lineRule="auto"/>
              <w:ind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以下为可能导致无效投标或废标的条款，具体内容详见招标文件各章节，请各投标人认真查看对照。</w:t>
            </w:r>
          </w:p>
          <w:p>
            <w:pPr>
              <w:keepNext w:val="0"/>
              <w:keepLines w:val="0"/>
              <w:pageBreakBefore w:val="0"/>
              <w:kinsoku/>
              <w:overflowPunct/>
              <w:autoSpaceDE/>
              <w:autoSpaceDN/>
              <w:bidi w:val="0"/>
              <w:spacing w:line="360" w:lineRule="auto"/>
              <w:ind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(1)不符合投标人须知前附表中第1</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13</w:t>
            </w:r>
            <w:r>
              <w:rPr>
                <w:rFonts w:hint="eastAsia" w:ascii="宋体" w:hAnsi="宋体" w:eastAsia="宋体" w:cs="宋体"/>
                <w:color w:val="auto"/>
                <w:sz w:val="24"/>
                <w:highlight w:val="none"/>
              </w:rPr>
              <w:t>项号中要求的。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(2)投标报价不符合投标人须知前附表中第</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项号规定的。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(3)出现“附件A”中无效投标</w:t>
            </w:r>
            <w:r>
              <w:rPr>
                <w:rFonts w:hint="eastAsia" w:ascii="宋体" w:hAnsi="宋体" w:eastAsia="宋体" w:cs="宋体"/>
                <w:color w:val="auto"/>
                <w:sz w:val="24"/>
                <w:highlight w:val="none"/>
                <w:lang w:eastAsia="zh-CN"/>
              </w:rPr>
              <w:t>及废标条款</w:t>
            </w:r>
            <w:r>
              <w:rPr>
                <w:rFonts w:hint="eastAsia" w:ascii="宋体" w:hAnsi="宋体" w:eastAsia="宋体" w:cs="宋体"/>
                <w:color w:val="auto"/>
                <w:sz w:val="24"/>
                <w:highlight w:val="none"/>
              </w:rPr>
              <w:t>规定的。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(4)出现投标人</w:t>
            </w:r>
            <w:r>
              <w:rPr>
                <w:rFonts w:hint="eastAsia" w:ascii="宋体" w:hAnsi="宋体" w:eastAsia="宋体" w:cs="宋体"/>
                <w:color w:val="auto"/>
                <w:sz w:val="24"/>
                <w:highlight w:val="none"/>
                <w:lang w:eastAsia="zh-CN"/>
              </w:rPr>
              <w:t>说明</w:t>
            </w:r>
            <w:r>
              <w:rPr>
                <w:rFonts w:hint="eastAsia" w:ascii="宋体" w:hAnsi="宋体" w:eastAsia="宋体" w:cs="宋体"/>
                <w:color w:val="auto"/>
                <w:sz w:val="24"/>
                <w:highlight w:val="none"/>
              </w:rPr>
              <w:t>第3</w:t>
            </w:r>
            <w:r>
              <w:rPr>
                <w:rFonts w:hint="eastAsia" w:ascii="宋体" w:hAnsi="宋体" w:eastAsia="宋体" w:cs="宋体"/>
                <w:color w:val="auto"/>
                <w:sz w:val="24"/>
                <w:highlight w:val="none"/>
                <w:lang w:eastAsia="zh-CN"/>
              </w:rPr>
              <w:t>条</w:t>
            </w:r>
            <w:r>
              <w:rPr>
                <w:rFonts w:hint="eastAsia" w:ascii="宋体" w:hAnsi="宋体" w:eastAsia="宋体" w:cs="宋体"/>
                <w:color w:val="auto"/>
                <w:sz w:val="24"/>
                <w:highlight w:val="none"/>
              </w:rPr>
              <w:t>要求任一情形的。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(5)出现投标人须知中第1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.3、1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要求中任一条款的。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(6)投标报价出现投标人须知中第</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.3条款规定的。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)出现第二章投标人须知无效投标规定的。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)出现第三章招标内容及要求无效投标规定的。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8276" w:type="dxa"/>
            <w:vAlign w:val="center"/>
          </w:tcPr>
          <w:p>
            <w:pPr>
              <w:keepNext w:val="0"/>
              <w:keepLines w:val="0"/>
              <w:pageBreakBefore w:val="0"/>
              <w:kinsoku/>
              <w:overflowPunct/>
              <w:autoSpaceDE/>
              <w:autoSpaceDN/>
              <w:bidi w:val="0"/>
              <w:spacing w:line="360" w:lineRule="auto"/>
              <w:ind w:firstLine="480" w:firstLineChars="20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根据《福建省财政厅关于落实疫情防控采购便利化有关政策的通知》的规定，本项目以满足疫情防控工作需要为首要目标，不执行政府采购法规定的方式和程序。</w:t>
            </w:r>
            <w:r>
              <w:rPr>
                <w:rFonts w:hint="eastAsia" w:ascii="宋体" w:hAnsi="宋体" w:cs="宋体"/>
                <w:color w:val="auto"/>
                <w:sz w:val="24"/>
                <w:highlight w:val="none"/>
                <w:lang w:eastAsia="zh-CN"/>
              </w:rPr>
              <w:t>故若合格投标人不足三家，则该项目继续进行评标；若合格投标人只有一家，则由评标委员会直接进行谈判确认该合格投标人为最终中标供应商。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44"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980" w:type="dxa"/>
            <w:vAlign w:val="center"/>
          </w:tcPr>
          <w:p>
            <w:pPr>
              <w:keepNext w:val="0"/>
              <w:keepLines w:val="0"/>
              <w:pageBreakBefore w:val="0"/>
              <w:kinsoku/>
              <w:overflowPunct/>
              <w:autoSpaceDE/>
              <w:autoSpaceDN/>
              <w:bidi w:val="0"/>
              <w:spacing w:line="360" w:lineRule="auto"/>
              <w:jc w:val="center"/>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8276" w:type="dxa"/>
            <w:vAlign w:val="center"/>
          </w:tcPr>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 评标过程中无论是否有对原件进行核查，投标人都必须对其投标文件中提供各种资料、说明、声明、承诺的真实、准确、完整及合法有效负责。在评标过程中，如有发现投标人有为谋取中标而提供虚假资料或承诺欺骗采购人和评委的行为，将取消其中标资格，其投标保证金将不予退还。</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 定标后，采购人有可能对中标人投标文件中的承诺内容、资料和说明进行实地核查，中标人应无条件配合采购人的核查工作，不得拒绝核查或隐瞒真实情况。若在中标后或签约时或履行合同过程中发现中标人是提供虚假材料或承诺谋取中标的，采购人将取消其中标人资格，其投标保证金、履约保证金（如果已签订合同）将不予退还，给采购人造成损失（损失包括直接损失和间接损失及因追索该损失而产生的诉讼费、律师费等）的，还必须进行赔偿并负相关责任。采购人有权按照中标候选人排序依法递补中标人并按相同标准和要求签订合同，以此类推。</w:t>
            </w:r>
          </w:p>
        </w:tc>
      </w:tr>
    </w:tbl>
    <w:p>
      <w:pPr>
        <w:pageBreakBefore w:val="0"/>
        <w:kinsoku/>
        <w:overflowPunct/>
        <w:bidi w:val="0"/>
        <w:spacing w:line="360" w:lineRule="auto"/>
        <w:jc w:val="center"/>
        <w:rPr>
          <w:rFonts w:ascii="宋体" w:hAnsi="宋体" w:cs="宋体"/>
          <w:b/>
          <w:sz w:val="36"/>
          <w:szCs w:val="36"/>
          <w:highlight w:val="none"/>
        </w:rPr>
      </w:pPr>
      <w:r>
        <w:rPr>
          <w:rFonts w:hint="eastAsia" w:ascii="宋体" w:hAnsi="宋体" w:eastAsia="宋体" w:cs="宋体"/>
          <w:b/>
          <w:color w:val="auto"/>
          <w:sz w:val="24"/>
          <w:highlight w:val="none"/>
        </w:rPr>
        <w:br w:type="page"/>
      </w:r>
      <w:bookmarkStart w:id="38" w:name="_Toc492718039"/>
      <w:r>
        <w:rPr>
          <w:rFonts w:hint="eastAsia" w:ascii="宋体" w:hAnsi="宋体" w:cs="宋体"/>
          <w:b/>
          <w:sz w:val="36"/>
          <w:szCs w:val="36"/>
          <w:highlight w:val="none"/>
        </w:rPr>
        <w:t>附件A：评标方法、评标标准和废标条款</w:t>
      </w:r>
      <w:bookmarkEnd w:id="38"/>
    </w:p>
    <w:p>
      <w:pPr>
        <w:pageBreakBefore w:val="0"/>
        <w:kinsoku/>
        <w:overflowPunct/>
        <w:bidi w:val="0"/>
        <w:snapToGrid w:val="0"/>
        <w:spacing w:line="360" w:lineRule="auto"/>
        <w:rPr>
          <w:rFonts w:ascii="宋体" w:hAnsi="宋体" w:cs="宋体"/>
          <w:b/>
          <w:sz w:val="24"/>
          <w:highlight w:val="none"/>
        </w:rPr>
      </w:pPr>
      <w:bookmarkStart w:id="39" w:name="_Toc420412511"/>
      <w:r>
        <w:rPr>
          <w:rFonts w:hint="eastAsia" w:ascii="宋体" w:hAnsi="宋体" w:cs="宋体"/>
          <w:b/>
          <w:sz w:val="24"/>
          <w:highlight w:val="none"/>
        </w:rPr>
        <w:t>一、评标方法：</w:t>
      </w:r>
      <w:r>
        <w:rPr>
          <w:rFonts w:hint="eastAsia" w:ascii="宋体" w:hAnsi="宋体" w:cs="宋体"/>
          <w:b/>
          <w:sz w:val="24"/>
          <w:highlight w:val="none"/>
          <w:lang w:eastAsia="zh-CN"/>
        </w:rPr>
        <w:t>在满足招标要求的前提下，</w:t>
      </w:r>
      <w:r>
        <w:rPr>
          <w:rFonts w:hint="eastAsia" w:ascii="宋体" w:hAnsi="宋体" w:cs="宋体"/>
          <w:sz w:val="24"/>
          <w:highlight w:val="none"/>
        </w:rPr>
        <w:t>本项目采用</w:t>
      </w:r>
      <w:bookmarkEnd w:id="39"/>
      <w:r>
        <w:rPr>
          <w:rFonts w:hint="eastAsia" w:ascii="宋体" w:hAnsi="宋体" w:cs="宋体"/>
          <w:sz w:val="24"/>
          <w:highlight w:val="none"/>
          <w:lang w:eastAsia="zh-CN"/>
        </w:rPr>
        <w:t>最低评标价法</w:t>
      </w:r>
    </w:p>
    <w:p>
      <w:pPr>
        <w:pageBreakBefore w:val="0"/>
        <w:kinsoku/>
        <w:overflowPunct/>
        <w:bidi w:val="0"/>
        <w:snapToGrid w:val="0"/>
        <w:spacing w:line="360" w:lineRule="auto"/>
        <w:rPr>
          <w:rFonts w:ascii="宋体" w:hAnsi="宋体" w:cs="宋体"/>
          <w:sz w:val="24"/>
          <w:highlight w:val="none"/>
        </w:rPr>
      </w:pPr>
      <w:r>
        <w:rPr>
          <w:rFonts w:hint="eastAsia" w:ascii="宋体" w:hAnsi="宋体" w:cs="宋体"/>
          <w:b/>
          <w:bCs/>
          <w:sz w:val="24"/>
          <w:highlight w:val="none"/>
        </w:rPr>
        <w:t>二、资格审查</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1、有下列情形之一的，资格审查不合格：</w:t>
      </w:r>
    </w:p>
    <w:tbl>
      <w:tblPr>
        <w:tblStyle w:val="40"/>
        <w:tblW w:w="9681"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39"/>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94" w:type="dxa"/>
            <w:tcMar>
              <w:top w:w="0" w:type="dxa"/>
              <w:left w:w="95" w:type="dxa"/>
              <w:bottom w:w="0" w:type="dxa"/>
              <w:right w:w="95" w:type="dxa"/>
            </w:tcMar>
            <w:vAlign w:val="center"/>
          </w:tcPr>
          <w:p>
            <w:pPr>
              <w:pageBreakBefore w:val="0"/>
              <w:kinsoku/>
              <w:overflowPunct/>
              <w:bidi w:val="0"/>
              <w:snapToGrid w:val="0"/>
              <w:spacing w:line="360" w:lineRule="auto"/>
              <w:jc w:val="center"/>
              <w:rPr>
                <w:rFonts w:ascii="宋体" w:hAnsi="宋体" w:cs="宋体"/>
                <w:sz w:val="24"/>
                <w:highlight w:val="none"/>
              </w:rPr>
            </w:pPr>
            <w:r>
              <w:rPr>
                <w:rFonts w:hint="eastAsia" w:ascii="宋体" w:hAnsi="宋体" w:cs="宋体"/>
                <w:sz w:val="24"/>
                <w:highlight w:val="none"/>
              </w:rPr>
              <w:t>序号</w:t>
            </w:r>
          </w:p>
        </w:tc>
        <w:tc>
          <w:tcPr>
            <w:tcW w:w="8297" w:type="dxa"/>
            <w:tcMar>
              <w:top w:w="0" w:type="dxa"/>
              <w:left w:w="95" w:type="dxa"/>
              <w:bottom w:w="0" w:type="dxa"/>
              <w:right w:w="95" w:type="dxa"/>
            </w:tcMar>
            <w:vAlign w:val="center"/>
          </w:tcPr>
          <w:p>
            <w:pPr>
              <w:pageBreakBefore w:val="0"/>
              <w:kinsoku/>
              <w:overflowPunct/>
              <w:bidi w:val="0"/>
              <w:snapToGrid w:val="0"/>
              <w:spacing w:line="360" w:lineRule="auto"/>
              <w:jc w:val="center"/>
              <w:rPr>
                <w:rFonts w:ascii="宋体" w:hAnsi="宋体" w:cs="宋体"/>
                <w:sz w:val="24"/>
                <w:highlight w:val="none"/>
              </w:rPr>
            </w:pPr>
            <w:r>
              <w:rPr>
                <w:rFonts w:hint="eastAsia" w:ascii="宋体" w:hAnsi="宋体" w:cs="宋体"/>
                <w:sz w:val="24"/>
                <w:highlight w:val="none"/>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94" w:type="dxa"/>
            <w:tcMar>
              <w:top w:w="0" w:type="dxa"/>
              <w:left w:w="95" w:type="dxa"/>
              <w:bottom w:w="0" w:type="dxa"/>
              <w:right w:w="95" w:type="dxa"/>
            </w:tcMar>
            <w:vAlign w:val="center"/>
          </w:tcPr>
          <w:p>
            <w:pPr>
              <w:pageBreakBefore w:val="0"/>
              <w:kinsoku/>
              <w:overflowPunct/>
              <w:bidi w:val="0"/>
              <w:snapToGrid w:val="0"/>
              <w:spacing w:line="360" w:lineRule="auto"/>
              <w:jc w:val="center"/>
              <w:rPr>
                <w:rFonts w:ascii="宋体" w:hAnsi="宋体" w:cs="宋体"/>
                <w:sz w:val="24"/>
                <w:highlight w:val="none"/>
              </w:rPr>
            </w:pPr>
            <w:r>
              <w:rPr>
                <w:rFonts w:hint="eastAsia" w:ascii="宋体" w:hAnsi="宋体" w:cs="宋体"/>
                <w:sz w:val="24"/>
                <w:highlight w:val="none"/>
              </w:rPr>
              <w:t>a1</w:t>
            </w:r>
          </w:p>
        </w:tc>
        <w:tc>
          <w:tcPr>
            <w:tcW w:w="8297" w:type="dxa"/>
            <w:tcMar>
              <w:top w:w="0" w:type="dxa"/>
              <w:left w:w="95" w:type="dxa"/>
              <w:bottom w:w="0" w:type="dxa"/>
              <w:right w:w="95" w:type="dxa"/>
            </w:tcMar>
            <w:vAlign w:val="center"/>
          </w:tcPr>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94" w:type="dxa"/>
            <w:tcMar>
              <w:top w:w="0" w:type="dxa"/>
              <w:left w:w="95" w:type="dxa"/>
              <w:bottom w:w="0" w:type="dxa"/>
              <w:right w:w="95" w:type="dxa"/>
            </w:tcMar>
            <w:vAlign w:val="center"/>
          </w:tcPr>
          <w:p>
            <w:pPr>
              <w:pageBreakBefore w:val="0"/>
              <w:kinsoku/>
              <w:overflowPunct/>
              <w:bidi w:val="0"/>
              <w:snapToGrid w:val="0"/>
              <w:spacing w:line="360" w:lineRule="auto"/>
              <w:jc w:val="center"/>
              <w:rPr>
                <w:rFonts w:ascii="宋体" w:hAnsi="宋体" w:cs="宋体"/>
                <w:sz w:val="24"/>
                <w:highlight w:val="none"/>
              </w:rPr>
            </w:pPr>
            <w:r>
              <w:rPr>
                <w:rFonts w:hint="eastAsia" w:ascii="宋体" w:hAnsi="宋体" w:cs="宋体"/>
                <w:sz w:val="24"/>
                <w:highlight w:val="none"/>
              </w:rPr>
              <w:t>a2</w:t>
            </w:r>
          </w:p>
        </w:tc>
        <w:tc>
          <w:tcPr>
            <w:tcW w:w="8297" w:type="dxa"/>
            <w:tcMar>
              <w:top w:w="0" w:type="dxa"/>
              <w:left w:w="95" w:type="dxa"/>
              <w:bottom w:w="0" w:type="dxa"/>
              <w:right w:w="95" w:type="dxa"/>
            </w:tcMar>
            <w:vAlign w:val="center"/>
          </w:tcPr>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未按照招标文件规定提交投标保证金</w:t>
            </w:r>
          </w:p>
        </w:tc>
      </w:tr>
    </w:tbl>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2、资格审查情况不得私自外泄，有关信息由福建省天海招标有限公司统一对外发布。</w:t>
      </w:r>
    </w:p>
    <w:p>
      <w:pPr>
        <w:pageBreakBefore w:val="0"/>
        <w:kinsoku/>
        <w:overflowPunct/>
        <w:bidi w:val="0"/>
        <w:snapToGrid w:val="0"/>
        <w:spacing w:line="360" w:lineRule="auto"/>
        <w:rPr>
          <w:rFonts w:ascii="宋体" w:hAnsi="宋体" w:cs="宋体"/>
          <w:b/>
          <w:bCs/>
          <w:sz w:val="24"/>
          <w:highlight w:val="none"/>
        </w:rPr>
      </w:pPr>
      <w:r>
        <w:rPr>
          <w:rFonts w:hint="eastAsia" w:ascii="宋体" w:hAnsi="宋体" w:cs="宋体"/>
          <w:b/>
          <w:bCs/>
          <w:sz w:val="24"/>
          <w:highlight w:val="none"/>
        </w:rPr>
        <w:t>三、评标</w:t>
      </w:r>
    </w:p>
    <w:p>
      <w:pPr>
        <w:pageBreakBefore w:val="0"/>
        <w:kinsoku/>
        <w:overflowPunct/>
        <w:bidi w:val="0"/>
        <w:snapToGrid w:val="0"/>
        <w:spacing w:line="360" w:lineRule="auto"/>
        <w:rPr>
          <w:rFonts w:ascii="宋体" w:hAnsi="宋体" w:cs="宋体"/>
          <w:b/>
          <w:bCs/>
          <w:sz w:val="24"/>
          <w:highlight w:val="none"/>
        </w:rPr>
      </w:pPr>
      <w:r>
        <w:rPr>
          <w:rFonts w:hint="eastAsia" w:ascii="宋体" w:hAnsi="宋体" w:cs="宋体"/>
          <w:b/>
          <w:bCs/>
          <w:sz w:val="24"/>
          <w:highlight w:val="none"/>
        </w:rPr>
        <w:t>1．评标前的准备工作</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（1）全体评委应认真审阅招标文件，了解评委应履行或遵守的职责、义务和评标纪律。</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（2）采购人代表可对本项目的背景和采购需求进行介绍，介绍内容不得含有歧视性、倾向性意见，不得超出招标文件所述范围。</w:t>
      </w:r>
    </w:p>
    <w:p>
      <w:pPr>
        <w:pageBreakBefore w:val="0"/>
        <w:kinsoku/>
        <w:overflowPunct/>
        <w:bidi w:val="0"/>
        <w:snapToGrid w:val="0"/>
        <w:spacing w:line="360" w:lineRule="auto"/>
        <w:rPr>
          <w:rFonts w:ascii="宋体" w:hAnsi="宋体" w:cs="宋体"/>
          <w:b/>
          <w:bCs/>
          <w:sz w:val="24"/>
          <w:highlight w:val="none"/>
        </w:rPr>
      </w:pPr>
      <w:r>
        <w:rPr>
          <w:rFonts w:hint="eastAsia" w:ascii="宋体" w:hAnsi="宋体" w:cs="宋体"/>
          <w:b/>
          <w:bCs/>
          <w:sz w:val="24"/>
          <w:highlight w:val="none"/>
        </w:rPr>
        <w:t>2．符合性审查</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（1）评标委员会依据招标文件的实质性要求，对通过资格审查的投标文件进行符合性审查，以确定其是否满足招标文件的实质性要求。</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（2）满足招标文件的实质性要求指投标文件对招标文件实质性要求的响应不存在重大偏差或保留。</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（5）评标委员会对所有投标人都执行相同的程序和标准。</w:t>
      </w:r>
    </w:p>
    <w:p>
      <w:pPr>
        <w:pageBreakBefore w:val="0"/>
        <w:kinsoku/>
        <w:overflowPunct/>
        <w:bidi w:val="0"/>
        <w:snapToGrid w:val="0"/>
        <w:spacing w:line="360" w:lineRule="auto"/>
        <w:ind w:firstLine="240" w:firstLineChars="100"/>
        <w:rPr>
          <w:rFonts w:ascii="宋体" w:hAnsi="宋体" w:cs="宋体"/>
          <w:sz w:val="24"/>
          <w:highlight w:val="none"/>
        </w:rPr>
      </w:pPr>
      <w:r>
        <w:rPr>
          <w:rFonts w:hint="eastAsia" w:ascii="宋体" w:hAnsi="宋体" w:cs="宋体"/>
          <w:sz w:val="24"/>
          <w:highlight w:val="none"/>
        </w:rPr>
        <w:t>（6）有下列情形之一的，</w:t>
      </w:r>
      <w:r>
        <w:rPr>
          <w:rFonts w:hint="eastAsia" w:ascii="宋体" w:hAnsi="宋体" w:cs="宋体"/>
          <w:b/>
          <w:bCs/>
          <w:sz w:val="24"/>
          <w:highlight w:val="none"/>
        </w:rPr>
        <w:t>符合性审查不合格：</w:t>
      </w:r>
    </w:p>
    <w:p>
      <w:pPr>
        <w:pageBreakBefore w:val="0"/>
        <w:kinsoku/>
        <w:overflowPunct/>
        <w:bidi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①一般情形：</w:t>
      </w:r>
    </w:p>
    <w:tbl>
      <w:tblPr>
        <w:tblStyle w:val="40"/>
        <w:tblW w:w="9643"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66"/>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321" w:type="dxa"/>
            <w:tcMar>
              <w:top w:w="0" w:type="dxa"/>
              <w:left w:w="95" w:type="dxa"/>
              <w:bottom w:w="0" w:type="dxa"/>
              <w:right w:w="95" w:type="dxa"/>
            </w:tcMar>
            <w:vAlign w:val="center"/>
          </w:tcPr>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序号</w:t>
            </w:r>
          </w:p>
        </w:tc>
        <w:tc>
          <w:tcPr>
            <w:tcW w:w="8232" w:type="dxa"/>
            <w:tcMar>
              <w:top w:w="0" w:type="dxa"/>
              <w:left w:w="95" w:type="dxa"/>
              <w:bottom w:w="0" w:type="dxa"/>
              <w:right w:w="95" w:type="dxa"/>
            </w:tcMar>
            <w:vAlign w:val="center"/>
          </w:tcPr>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321" w:type="dxa"/>
            <w:tcMar>
              <w:top w:w="0" w:type="dxa"/>
              <w:left w:w="95" w:type="dxa"/>
              <w:bottom w:w="0" w:type="dxa"/>
              <w:right w:w="95" w:type="dxa"/>
            </w:tcMar>
            <w:vAlign w:val="center"/>
          </w:tcPr>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a1</w:t>
            </w:r>
          </w:p>
        </w:tc>
        <w:tc>
          <w:tcPr>
            <w:tcW w:w="8232" w:type="dxa"/>
            <w:tcMar>
              <w:top w:w="0" w:type="dxa"/>
              <w:left w:w="95" w:type="dxa"/>
              <w:bottom w:w="0" w:type="dxa"/>
              <w:right w:w="95" w:type="dxa"/>
            </w:tcMar>
            <w:vAlign w:val="center"/>
          </w:tcPr>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321" w:type="dxa"/>
            <w:tcMar>
              <w:top w:w="0" w:type="dxa"/>
              <w:left w:w="95" w:type="dxa"/>
              <w:bottom w:w="0" w:type="dxa"/>
              <w:right w:w="95" w:type="dxa"/>
            </w:tcMar>
            <w:vAlign w:val="center"/>
          </w:tcPr>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a2</w:t>
            </w:r>
          </w:p>
        </w:tc>
        <w:tc>
          <w:tcPr>
            <w:tcW w:w="8232" w:type="dxa"/>
            <w:tcMar>
              <w:top w:w="0" w:type="dxa"/>
              <w:left w:w="95" w:type="dxa"/>
              <w:bottom w:w="0" w:type="dxa"/>
              <w:right w:w="95" w:type="dxa"/>
            </w:tcMar>
            <w:vAlign w:val="center"/>
          </w:tcPr>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投标文件对招标文件实质性要求的响应存在重大偏离或保留。</w:t>
            </w:r>
          </w:p>
        </w:tc>
      </w:tr>
    </w:tbl>
    <w:p>
      <w:pPr>
        <w:pageBreakBefore w:val="0"/>
        <w:kinsoku/>
        <w:overflowPunct/>
        <w:bidi w:val="0"/>
        <w:snapToGrid w:val="0"/>
        <w:spacing w:line="360" w:lineRule="auto"/>
        <w:rPr>
          <w:rFonts w:ascii="宋体" w:hAnsi="宋体" w:cs="宋体"/>
          <w:sz w:val="24"/>
          <w:highlight w:val="none"/>
        </w:rPr>
      </w:pPr>
      <w:r>
        <w:rPr>
          <w:rFonts w:hint="eastAsia" w:ascii="宋体" w:hAnsi="宋体" w:cs="宋体"/>
          <w:sz w:val="24"/>
          <w:highlight w:val="none"/>
        </w:rPr>
        <w:t>（7）评标过程中，</w:t>
      </w:r>
      <w:r>
        <w:rPr>
          <w:rFonts w:hint="eastAsia" w:ascii="宋体" w:hAnsi="宋体" w:cs="宋体"/>
          <w:sz w:val="24"/>
          <w:highlight w:val="none"/>
          <w:lang w:eastAsia="zh-CN"/>
        </w:rPr>
        <w:t>存在</w:t>
      </w:r>
      <w:r>
        <w:rPr>
          <w:rFonts w:hint="eastAsia" w:ascii="宋体" w:hAnsi="宋体" w:cs="宋体"/>
          <w:sz w:val="24"/>
          <w:highlight w:val="none"/>
        </w:rPr>
        <w:t>有关法律、法规和规章规定废标的情形，应予废标</w:t>
      </w:r>
      <w:r>
        <w:rPr>
          <w:rFonts w:hint="eastAsia" w:ascii="宋体" w:hAnsi="宋体" w:cs="宋体"/>
          <w:sz w:val="24"/>
          <w:highlight w:val="none"/>
          <w:lang w:eastAsia="zh-CN"/>
        </w:rPr>
        <w:t>。</w:t>
      </w:r>
    </w:p>
    <w:p>
      <w:pPr>
        <w:pageBreakBefore w:val="0"/>
        <w:kinsoku/>
        <w:overflowPunct/>
        <w:bidi w:val="0"/>
        <w:snapToGrid w:val="0"/>
        <w:spacing w:line="360" w:lineRule="auto"/>
        <w:ind w:firstLine="482" w:firstLineChars="200"/>
        <w:rPr>
          <w:rFonts w:ascii="宋体" w:hAnsi="宋体" w:cs="宋体"/>
          <w:sz w:val="24"/>
          <w:highlight w:val="none"/>
        </w:rPr>
      </w:pPr>
      <w:r>
        <w:rPr>
          <w:rFonts w:hint="eastAsia" w:ascii="宋体" w:hAnsi="宋体" w:cs="宋体"/>
          <w:b/>
          <w:bCs/>
          <w:sz w:val="24"/>
          <w:highlight w:val="none"/>
        </w:rPr>
        <w:t>※若废标，则本次采购活动结束，福建省天海招标有限公司将依法组织后续采购活动（包括但不限于：重新招标、采用其他方式采购等）。</w:t>
      </w:r>
    </w:p>
    <w:p>
      <w:pPr>
        <w:pageBreakBefore w:val="0"/>
        <w:kinsoku/>
        <w:overflowPunct/>
        <w:bidi w:val="0"/>
        <w:snapToGrid w:val="0"/>
        <w:spacing w:line="360" w:lineRule="auto"/>
        <w:rPr>
          <w:rFonts w:ascii="宋体" w:hAnsi="宋体" w:cs="宋体"/>
          <w:b/>
          <w:sz w:val="24"/>
          <w:highlight w:val="none"/>
        </w:rPr>
      </w:pPr>
      <w:r>
        <w:rPr>
          <w:rFonts w:hint="eastAsia" w:ascii="宋体" w:hAnsi="宋体" w:cs="宋体"/>
          <w:b/>
          <w:sz w:val="24"/>
          <w:highlight w:val="none"/>
        </w:rPr>
        <w:t>四、评标标准：</w:t>
      </w:r>
    </w:p>
    <w:p>
      <w:pPr>
        <w:pageBreakBefore w:val="0"/>
        <w:kinsoku/>
        <w:overflowPunct/>
        <w:bidi w:val="0"/>
        <w:snapToGrid w:val="0"/>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宋体" w:hAnsi="宋体" w:cs="宋体"/>
          <w:sz w:val="24"/>
          <w:highlight w:val="none"/>
        </w:rPr>
        <w:t>(一)</w:t>
      </w:r>
      <w:r>
        <w:rPr>
          <w:rFonts w:hint="eastAsia" w:ascii="宋体" w:hAnsi="宋体" w:cs="宋体"/>
          <w:sz w:val="24"/>
          <w:highlight w:val="none"/>
          <w:lang w:val="en-US" w:eastAsia="zh-CN"/>
        </w:rPr>
        <w:t xml:space="preserve"> </w:t>
      </w:r>
      <w:r>
        <w:rPr>
          <w:rFonts w:hint="eastAsia" w:asciiTheme="minorEastAsia" w:hAnsiTheme="minorEastAsia" w:eastAsiaTheme="minorEastAsia" w:cstheme="minorEastAsia"/>
          <w:sz w:val="24"/>
          <w:szCs w:val="24"/>
          <w:highlight w:val="none"/>
        </w:rPr>
        <w:t>评标工作将</w:t>
      </w:r>
      <w:r>
        <w:rPr>
          <w:rFonts w:hint="eastAsia" w:asciiTheme="minorEastAsia" w:hAnsiTheme="minorEastAsia" w:eastAsiaTheme="minorEastAsia" w:cstheme="minorEastAsia"/>
          <w:bCs/>
          <w:sz w:val="24"/>
          <w:szCs w:val="24"/>
          <w:highlight w:val="none"/>
        </w:rPr>
        <w:t>遵循“公开、公平、公正”和“诚实信用”的原则。评标委员会将按照规定对各</w:t>
      </w:r>
      <w:r>
        <w:rPr>
          <w:rFonts w:hint="eastAsia" w:asciiTheme="minorEastAsia" w:hAnsiTheme="minorEastAsia" w:eastAsiaTheme="minorEastAsia" w:cstheme="minorEastAsia"/>
          <w:bCs/>
          <w:sz w:val="24"/>
          <w:szCs w:val="24"/>
          <w:highlight w:val="none"/>
          <w:lang w:eastAsia="zh-CN"/>
        </w:rPr>
        <w:t>投标人</w:t>
      </w:r>
      <w:r>
        <w:rPr>
          <w:rFonts w:hint="eastAsia" w:asciiTheme="minorEastAsia" w:hAnsiTheme="minorEastAsia" w:eastAsiaTheme="minorEastAsia" w:cstheme="minorEastAsia"/>
          <w:bCs/>
          <w:sz w:val="24"/>
          <w:szCs w:val="24"/>
          <w:highlight w:val="none"/>
        </w:rPr>
        <w:t>的</w:t>
      </w:r>
      <w:r>
        <w:rPr>
          <w:rFonts w:hint="eastAsia" w:asciiTheme="minorEastAsia" w:hAnsiTheme="minorEastAsia" w:eastAsiaTheme="minorEastAsia" w:cstheme="minorEastAsia"/>
          <w:bCs/>
          <w:sz w:val="24"/>
          <w:szCs w:val="24"/>
          <w:highlight w:val="none"/>
          <w:lang w:eastAsia="zh-CN"/>
        </w:rPr>
        <w:t>投标</w:t>
      </w:r>
      <w:r>
        <w:rPr>
          <w:rFonts w:hint="eastAsia" w:asciiTheme="minorEastAsia" w:hAnsiTheme="minorEastAsia" w:eastAsiaTheme="minorEastAsia" w:cstheme="minorEastAsia"/>
          <w:bCs/>
          <w:sz w:val="24"/>
          <w:szCs w:val="24"/>
          <w:highlight w:val="none"/>
        </w:rPr>
        <w:t>文件采用相同的程序和标准进行评价和比较，评议过程严格按照招标文件的要求和条件进行。</w:t>
      </w:r>
    </w:p>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1.评审标准和方法:</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本项目采用</w:t>
      </w:r>
      <w:r>
        <w:rPr>
          <w:rFonts w:hint="eastAsia" w:asciiTheme="minorEastAsia" w:hAnsiTheme="minorEastAsia" w:eastAsiaTheme="minorEastAsia" w:cstheme="minorEastAsia"/>
          <w:b/>
          <w:sz w:val="24"/>
          <w:szCs w:val="24"/>
          <w:highlight w:val="none"/>
        </w:rPr>
        <w:t>最低评标价法（但最低价不作为</w:t>
      </w:r>
      <w:r>
        <w:rPr>
          <w:rFonts w:hint="eastAsia" w:asciiTheme="minorEastAsia" w:hAnsiTheme="minorEastAsia" w:eastAsiaTheme="minorEastAsia" w:cstheme="minorEastAsia"/>
          <w:b/>
          <w:sz w:val="24"/>
          <w:szCs w:val="24"/>
          <w:highlight w:val="none"/>
          <w:lang w:eastAsia="zh-CN"/>
        </w:rPr>
        <w:t>中标</w:t>
      </w:r>
      <w:r>
        <w:rPr>
          <w:rFonts w:hint="eastAsia" w:asciiTheme="minorEastAsia" w:hAnsiTheme="minorEastAsia" w:eastAsiaTheme="minorEastAsia" w:cstheme="minorEastAsia"/>
          <w:b/>
          <w:sz w:val="24"/>
          <w:szCs w:val="24"/>
          <w:highlight w:val="none"/>
        </w:rPr>
        <w:t>保证）</w:t>
      </w:r>
      <w:r>
        <w:rPr>
          <w:rFonts w:hint="eastAsia" w:asciiTheme="minorEastAsia" w:hAnsiTheme="minorEastAsia" w:eastAsiaTheme="minorEastAsia" w:cstheme="minorEastAsia"/>
          <w:sz w:val="24"/>
          <w:szCs w:val="24"/>
          <w:highlight w:val="none"/>
        </w:rPr>
        <w:t>，评标委员会根据下述各项要求综合评估，质量和服务等均完全响应招标文件要求且报价最低的原则推荐</w:t>
      </w:r>
      <w:r>
        <w:rPr>
          <w:rFonts w:hint="eastAsia" w:asciiTheme="minorEastAsia" w:hAnsiTheme="minorEastAsia" w:eastAsiaTheme="minorEastAsia" w:cstheme="minorEastAsia"/>
          <w:sz w:val="24"/>
          <w:szCs w:val="24"/>
          <w:highlight w:val="none"/>
          <w:lang w:eastAsia="zh-CN"/>
        </w:rPr>
        <w:t>中标</w:t>
      </w:r>
      <w:r>
        <w:rPr>
          <w:rFonts w:hint="eastAsia" w:asciiTheme="minorEastAsia" w:hAnsiTheme="minorEastAsia" w:eastAsiaTheme="minorEastAsia" w:cstheme="minorEastAsia"/>
          <w:sz w:val="24"/>
          <w:szCs w:val="24"/>
          <w:highlight w:val="none"/>
        </w:rPr>
        <w:t>候选人。</w:t>
      </w:r>
    </w:p>
    <w:p>
      <w:pPr>
        <w:pStyle w:val="22"/>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2.谈判程序</w:t>
      </w:r>
    </w:p>
    <w:p>
      <w:pPr>
        <w:pStyle w:val="22"/>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 在进入谈判阶段之前，评标委员会将依据</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提交的资格证明文件。如果</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无资格履行合同，其报价将被拒绝。</w:t>
      </w:r>
    </w:p>
    <w:p>
      <w:pPr>
        <w:pStyle w:val="22"/>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2.2评标委员会还将确定每一投标报价是否对招标文件的要求作出实质性响应，对没有实质性响应的招标文件的将不进入谈判阶段。</w:t>
      </w:r>
    </w:p>
    <w:p>
      <w:pPr>
        <w:pStyle w:val="22"/>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2.3评标委员会将邀请</w:t>
      </w:r>
      <w:r>
        <w:rPr>
          <w:rFonts w:hint="eastAsia" w:asciiTheme="minorEastAsia" w:hAnsiTheme="minorEastAsia" w:eastAsiaTheme="minorEastAsia" w:cstheme="minorEastAsia"/>
          <w:sz w:val="24"/>
          <w:szCs w:val="24"/>
          <w:highlight w:val="none"/>
          <w:lang w:eastAsia="zh-CN"/>
        </w:rPr>
        <w:t>投标</w:t>
      </w:r>
      <w:r>
        <w:rPr>
          <w:rFonts w:hint="eastAsia" w:asciiTheme="minorEastAsia" w:hAnsiTheme="minorEastAsia" w:eastAsiaTheme="minorEastAsia" w:cstheme="minorEastAsia"/>
          <w:sz w:val="24"/>
          <w:szCs w:val="24"/>
          <w:highlight w:val="none"/>
        </w:rPr>
        <w:t>文件通过资格性检查和符合性检查、且有实质性响应的</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前来谈判。</w:t>
      </w:r>
    </w:p>
    <w:p>
      <w:pPr>
        <w:pStyle w:val="22"/>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2.4评标委员会与进入谈判阶段的</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进行技术、商务谈判。</w:t>
      </w:r>
    </w:p>
    <w:p>
      <w:pPr>
        <w:pStyle w:val="22"/>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（1）技术谈判：在招标代理机构提供的技术要求基础上，评标委员会与</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进行技术谈判并确认；</w:t>
      </w:r>
    </w:p>
    <w:p>
      <w:pPr>
        <w:pStyle w:val="22"/>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（2）商务谈判：在招标代理机构提供的商务要求基础上，评标委员会与</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进行价格、交货期、付款条件、售后服务等谈判并确认。</w:t>
      </w:r>
    </w:p>
    <w:p>
      <w:pPr>
        <w:pStyle w:val="22"/>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3.最终报价</w:t>
      </w:r>
    </w:p>
    <w:p>
      <w:pPr>
        <w:pStyle w:val="22"/>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3.1 谈判结束后，参加谈判的</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应在规定时间内（具体时间另行通知）提交最终报价表，迟到的最终报价表将被拒绝。</w:t>
      </w:r>
    </w:p>
    <w:p>
      <w:pPr>
        <w:pStyle w:val="22"/>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3.2 最终报价表应在第一次报价的基础上进行报价</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不得超过第一次报价，否则以第一次报价为准。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 最终报价表仅以书面形式（不包括电子邮件、传真等）密封提交（在谈判中如采购人要求</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承诺高于招标文件设备的条款，</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须在报价一览表（最终报价表）相关承诺中进行描述。</w:t>
      </w:r>
    </w:p>
    <w:p>
      <w:pPr>
        <w:keepNext w:val="0"/>
        <w:keepLines w:val="0"/>
        <w:pageBreakBefore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3.4 若</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的报价明显低于其他报价，使得其投标报价可能低于其个别成本的，有可能影响商品质量或不能诚信履约的，</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应按评标委员会要求作出书面说明并提供相关证明材料，不能合理说明或不能提供相关证明材料的，可作无效投标处理。</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3.5评标委员会将按比较与评价最优在先原则, 排列评价顺序, 根据各项要求综合评估，质量和服务等均完全响应招标文件要求且报价最低的原则推荐</w:t>
      </w:r>
      <w:r>
        <w:rPr>
          <w:rFonts w:hint="eastAsia" w:asciiTheme="minorEastAsia" w:hAnsiTheme="minorEastAsia" w:eastAsiaTheme="minorEastAsia" w:cstheme="minorEastAsia"/>
          <w:sz w:val="24"/>
          <w:szCs w:val="24"/>
          <w:highlight w:val="none"/>
          <w:lang w:eastAsia="zh-CN"/>
        </w:rPr>
        <w:t>中标</w:t>
      </w:r>
      <w:r>
        <w:rPr>
          <w:rFonts w:hint="eastAsia" w:asciiTheme="minorEastAsia" w:hAnsiTheme="minorEastAsia" w:eastAsiaTheme="minorEastAsia" w:cstheme="minorEastAsia"/>
          <w:sz w:val="24"/>
          <w:szCs w:val="24"/>
          <w:highlight w:val="none"/>
        </w:rPr>
        <w:t>候选人。</w:t>
      </w:r>
    </w:p>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napToGrid w:val="0"/>
          <w:kern w:val="0"/>
          <w:sz w:val="24"/>
          <w:szCs w:val="24"/>
          <w:highlight w:val="none"/>
        </w:rPr>
        <w:t>4．</w:t>
      </w:r>
      <w:r>
        <w:rPr>
          <w:rFonts w:hint="eastAsia" w:asciiTheme="minorEastAsia" w:hAnsiTheme="minorEastAsia" w:eastAsiaTheme="minorEastAsia" w:cstheme="minorEastAsia"/>
          <w:b/>
          <w:sz w:val="24"/>
          <w:szCs w:val="24"/>
          <w:highlight w:val="none"/>
        </w:rPr>
        <w:t>关于节能、减排、环境标志产品部分价格优惠内容及幅度：</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根据财政部、发展改革委、生态环境部、市场监管总局发布的《关于调整优化节能产品 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 (2)节能(非强制类产品)、环境标志产品评审优惠内容及幅度如下：</w:t>
      </w:r>
    </w:p>
    <w:tbl>
      <w:tblPr>
        <w:tblStyle w:val="40"/>
        <w:tblW w:w="9721" w:type="dxa"/>
        <w:jc w:val="center"/>
        <w:tblLayout w:type="fixed"/>
        <w:tblCellMar>
          <w:top w:w="0" w:type="dxa"/>
          <w:left w:w="108" w:type="dxa"/>
          <w:bottom w:w="0" w:type="dxa"/>
          <w:right w:w="108" w:type="dxa"/>
        </w:tblCellMar>
      </w:tblPr>
      <w:tblGrid>
        <w:gridCol w:w="794"/>
        <w:gridCol w:w="4460"/>
        <w:gridCol w:w="4467"/>
      </w:tblGrid>
      <w:tr>
        <w:tblPrEx>
          <w:tblCellMar>
            <w:top w:w="0" w:type="dxa"/>
            <w:left w:w="108" w:type="dxa"/>
            <w:bottom w:w="0" w:type="dxa"/>
            <w:right w:w="108" w:type="dxa"/>
          </w:tblCellMar>
        </w:tblPrEx>
        <w:trPr>
          <w:trHeight w:val="8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评标方法</w:t>
            </w:r>
          </w:p>
        </w:tc>
        <w:tc>
          <w:tcPr>
            <w:tcW w:w="44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同一合同包内的节能、减排、环境标志产品投标总金额占本合同包投标总金额</w:t>
            </w:r>
          </w:p>
        </w:tc>
        <w:tc>
          <w:tcPr>
            <w:tcW w:w="44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优惠幅度</w:t>
            </w:r>
          </w:p>
        </w:tc>
      </w:tr>
      <w:tr>
        <w:tblPrEx>
          <w:tblCellMar>
            <w:top w:w="0" w:type="dxa"/>
            <w:left w:w="108" w:type="dxa"/>
            <w:bottom w:w="0" w:type="dxa"/>
            <w:right w:w="108" w:type="dxa"/>
          </w:tblCellMar>
        </w:tblPrEx>
        <w:trPr>
          <w:trHeight w:val="316" w:hRule="atLeast"/>
          <w:jc w:val="center"/>
        </w:trPr>
        <w:tc>
          <w:tcPr>
            <w:tcW w:w="79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最低评标价法</w:t>
            </w:r>
          </w:p>
        </w:tc>
        <w:tc>
          <w:tcPr>
            <w:tcW w:w="44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10%（含10%）以下</w:t>
            </w:r>
          </w:p>
        </w:tc>
        <w:tc>
          <w:tcPr>
            <w:tcW w:w="44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给予每个单项投标报价3%的价格扣除</w:t>
            </w:r>
          </w:p>
        </w:tc>
      </w:tr>
      <w:tr>
        <w:tblPrEx>
          <w:tblCellMar>
            <w:top w:w="0" w:type="dxa"/>
            <w:left w:w="108" w:type="dxa"/>
            <w:bottom w:w="0" w:type="dxa"/>
            <w:right w:w="108" w:type="dxa"/>
          </w:tblCellMar>
        </w:tblPrEx>
        <w:trPr>
          <w:trHeight w:val="316" w:hRule="atLeast"/>
          <w:jc w:val="center"/>
        </w:trPr>
        <w:tc>
          <w:tcPr>
            <w:tcW w:w="7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4"/>
                <w:szCs w:val="24"/>
                <w:highlight w:val="none"/>
              </w:rPr>
            </w:pPr>
          </w:p>
        </w:tc>
        <w:tc>
          <w:tcPr>
            <w:tcW w:w="44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10%-30%（含30%）</w:t>
            </w:r>
          </w:p>
        </w:tc>
        <w:tc>
          <w:tcPr>
            <w:tcW w:w="44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给予每个单项投标报价6%的价格扣除</w:t>
            </w:r>
          </w:p>
        </w:tc>
      </w:tr>
      <w:tr>
        <w:tblPrEx>
          <w:tblCellMar>
            <w:top w:w="0" w:type="dxa"/>
            <w:left w:w="108" w:type="dxa"/>
            <w:bottom w:w="0" w:type="dxa"/>
            <w:right w:w="108" w:type="dxa"/>
          </w:tblCellMar>
        </w:tblPrEx>
        <w:trPr>
          <w:trHeight w:val="316" w:hRule="atLeast"/>
          <w:jc w:val="center"/>
        </w:trPr>
        <w:tc>
          <w:tcPr>
            <w:tcW w:w="7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4"/>
                <w:szCs w:val="24"/>
                <w:highlight w:val="none"/>
              </w:rPr>
            </w:pPr>
          </w:p>
        </w:tc>
        <w:tc>
          <w:tcPr>
            <w:tcW w:w="44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30%-50%（含50%）</w:t>
            </w:r>
          </w:p>
        </w:tc>
        <w:tc>
          <w:tcPr>
            <w:tcW w:w="44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给予每个单项投标报价8%的价格扣除</w:t>
            </w:r>
          </w:p>
        </w:tc>
      </w:tr>
      <w:tr>
        <w:tblPrEx>
          <w:tblCellMar>
            <w:top w:w="0" w:type="dxa"/>
            <w:left w:w="108" w:type="dxa"/>
            <w:bottom w:w="0" w:type="dxa"/>
            <w:right w:w="108" w:type="dxa"/>
          </w:tblCellMar>
        </w:tblPrEx>
        <w:trPr>
          <w:trHeight w:val="316" w:hRule="atLeast"/>
          <w:jc w:val="center"/>
        </w:trPr>
        <w:tc>
          <w:tcPr>
            <w:tcW w:w="7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4"/>
                <w:szCs w:val="24"/>
                <w:highlight w:val="none"/>
              </w:rPr>
            </w:pPr>
          </w:p>
        </w:tc>
        <w:tc>
          <w:tcPr>
            <w:tcW w:w="44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50%以上</w:t>
            </w:r>
          </w:p>
        </w:tc>
        <w:tc>
          <w:tcPr>
            <w:tcW w:w="44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给予每个单项投标报价10%的价格扣除</w:t>
            </w:r>
          </w:p>
        </w:tc>
      </w:tr>
    </w:tbl>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w:t>
      </w:r>
    </w:p>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5、关于中小企业生产或销售的产品或服务部分的</w:t>
      </w:r>
      <w:r>
        <w:rPr>
          <w:rFonts w:hint="eastAsia" w:asciiTheme="minorEastAsia" w:hAnsiTheme="minorEastAsia" w:eastAsiaTheme="minorEastAsia" w:cstheme="minorEastAsia"/>
          <w:b/>
          <w:snapToGrid w:val="0"/>
          <w:kern w:val="0"/>
          <w:sz w:val="24"/>
          <w:szCs w:val="24"/>
          <w:highlight w:val="none"/>
        </w:rPr>
        <w:t>评审优惠内容及幅度：</w:t>
      </w:r>
    </w:p>
    <w:p>
      <w:pPr>
        <w:keepNext w:val="0"/>
        <w:keepLines w:val="0"/>
        <w:pageBreakBefore w:val="0"/>
        <w:kinsoku/>
        <w:wordWrap/>
        <w:overflowPunct/>
        <w:topLinePunct w:val="0"/>
        <w:autoSpaceDE/>
        <w:autoSpaceDN/>
        <w:bidi w:val="0"/>
        <w:spacing w:line="360" w:lineRule="auto"/>
        <w:ind w:firstLine="235" w:firstLineChars="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根据中华人民共和国财政部、中华人民共和国工业和信息化部《政府采购促进中小企业发展暂行办法》（财库[2011]181号）文件的规定，中小企业参与投标报价享受相应优惠对小型和微型企业产品的价格给予6%的价格扣除，用扣除后的价格参与价格分的评审。符合财政部、司法部文件（财库[2014]68号）规定的监狱企业亦可享受扶持政策。所有扣除价格的货币单位与投标人报价的货币单位一致。 </w:t>
      </w:r>
    </w:p>
    <w:p>
      <w:pPr>
        <w:keepNext w:val="0"/>
        <w:keepLines w:val="0"/>
        <w:pageBreakBefore w:val="0"/>
        <w:kinsoku/>
        <w:wordWrap/>
        <w:overflowPunct/>
        <w:topLinePunct w:val="0"/>
        <w:autoSpaceDE/>
        <w:autoSpaceDN/>
        <w:bidi w:val="0"/>
        <w:spacing w:line="360" w:lineRule="auto"/>
        <w:ind w:firstLine="235" w:firstLineChars="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（1）中小企业（含中型、小型、微型企业，下同）应当同时符合以下条件： </w:t>
      </w:r>
    </w:p>
    <w:p>
      <w:pPr>
        <w:keepNext w:val="0"/>
        <w:keepLines w:val="0"/>
        <w:pageBreakBefore w:val="0"/>
        <w:kinsoku/>
        <w:wordWrap/>
        <w:overflowPunct/>
        <w:topLinePunct w:val="0"/>
        <w:autoSpaceDE/>
        <w:autoSpaceDN/>
        <w:bidi w:val="0"/>
        <w:spacing w:line="360" w:lineRule="auto"/>
        <w:ind w:firstLine="715" w:firstLineChars="2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① 符合中小企业划分标准（按《关于印发中小企业划型标准规定的通知》（工信部联企业〔2011〕300号）执行）。</w:t>
      </w:r>
    </w:p>
    <w:p>
      <w:pPr>
        <w:keepNext w:val="0"/>
        <w:keepLines w:val="0"/>
        <w:pageBreakBefore w:val="0"/>
        <w:kinsoku/>
        <w:wordWrap/>
        <w:overflowPunct/>
        <w:topLinePunct w:val="0"/>
        <w:autoSpaceDE/>
        <w:autoSpaceDN/>
        <w:bidi w:val="0"/>
        <w:spacing w:line="360" w:lineRule="auto"/>
        <w:ind w:firstLine="475" w:firstLineChars="1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 </w:t>
      </w:r>
      <w:r>
        <w:rPr>
          <w:rStyle w:val="43"/>
          <w:rFonts w:hint="eastAsia" w:asciiTheme="minorEastAsia" w:hAnsiTheme="minorEastAsia" w:eastAsiaTheme="minorEastAsia" w:cstheme="minorEastAsia"/>
          <w:b w:val="0"/>
          <w:sz w:val="24"/>
          <w:szCs w:val="24"/>
          <w:highlight w:val="none"/>
          <w:lang w:val="en-US" w:eastAsia="zh-CN"/>
        </w:rPr>
        <w:t xml:space="preserve"> </w:t>
      </w:r>
      <w:r>
        <w:rPr>
          <w:rStyle w:val="43"/>
          <w:rFonts w:hint="eastAsia" w:asciiTheme="minorEastAsia" w:hAnsiTheme="minorEastAsia" w:eastAsiaTheme="minorEastAsia" w:cstheme="minorEastAsia"/>
          <w:b w:val="0"/>
          <w:sz w:val="24"/>
          <w:szCs w:val="24"/>
          <w:highlight w:val="none"/>
        </w:rPr>
        <w:t xml:space="preserve">② 提供本企业制造的货物、承担的工程或者服务，或者提供其他中小企业制造的货物。本项所称货物不包括使用大型企业注册商标的货物。 </w:t>
      </w:r>
    </w:p>
    <w:p>
      <w:pPr>
        <w:keepNext w:val="0"/>
        <w:keepLines w:val="0"/>
        <w:pageBreakBefore w:val="0"/>
        <w:kinsoku/>
        <w:wordWrap/>
        <w:overflowPunct/>
        <w:topLinePunct w:val="0"/>
        <w:autoSpaceDE/>
        <w:autoSpaceDN/>
        <w:bidi w:val="0"/>
        <w:spacing w:line="360" w:lineRule="auto"/>
        <w:ind w:firstLine="715" w:firstLineChars="2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③ 小型、微型企业提供中型企业制造的货物的，视同为中型企业。 </w:t>
      </w:r>
    </w:p>
    <w:p>
      <w:pPr>
        <w:keepNext w:val="0"/>
        <w:keepLines w:val="0"/>
        <w:pageBreakBefore w:val="0"/>
        <w:kinsoku/>
        <w:wordWrap/>
        <w:overflowPunct/>
        <w:topLinePunct w:val="0"/>
        <w:autoSpaceDE/>
        <w:autoSpaceDN/>
        <w:bidi w:val="0"/>
        <w:spacing w:line="360" w:lineRule="auto"/>
        <w:ind w:firstLine="240" w:firstLineChars="100"/>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（2）小型和微型企业适用优惠内容及幅度时须提供相关资料，否则不给予价格扣除： </w:t>
      </w:r>
    </w:p>
    <w:p>
      <w:pPr>
        <w:keepNext w:val="0"/>
        <w:keepLines w:val="0"/>
        <w:pageBreakBefore w:val="0"/>
        <w:kinsoku/>
        <w:wordWrap/>
        <w:overflowPunct/>
        <w:topLinePunct w:val="0"/>
        <w:autoSpaceDE/>
        <w:autoSpaceDN/>
        <w:bidi w:val="0"/>
        <w:spacing w:line="360" w:lineRule="auto"/>
        <w:ind w:firstLine="715" w:firstLineChars="2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① 《中小企业生产或销售的产品或服务优惠明细表》。 </w:t>
      </w:r>
    </w:p>
    <w:p>
      <w:pPr>
        <w:keepNext w:val="0"/>
        <w:keepLines w:val="0"/>
        <w:pageBreakBefore w:val="0"/>
        <w:kinsoku/>
        <w:wordWrap/>
        <w:overflowPunct/>
        <w:topLinePunct w:val="0"/>
        <w:autoSpaceDE/>
        <w:autoSpaceDN/>
        <w:bidi w:val="0"/>
        <w:spacing w:line="360" w:lineRule="auto"/>
        <w:ind w:firstLine="715" w:firstLineChars="2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② 《中小企业声明函》（格式附后）。 </w:t>
      </w:r>
    </w:p>
    <w:p>
      <w:pPr>
        <w:keepNext w:val="0"/>
        <w:keepLines w:val="0"/>
        <w:pageBreakBefore w:val="0"/>
        <w:kinsoku/>
        <w:wordWrap/>
        <w:overflowPunct/>
        <w:topLinePunct w:val="0"/>
        <w:autoSpaceDE/>
        <w:autoSpaceDN/>
        <w:bidi w:val="0"/>
        <w:spacing w:line="360" w:lineRule="auto"/>
        <w:ind w:firstLine="475" w:firstLineChars="1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注：中小微企业划分标准表（工信部联企业〔2011〕300号）若所投标产品为进口产品的，不适用《政府采购促进中小企业发展暂行办法》。 </w:t>
      </w:r>
    </w:p>
    <w:p>
      <w:pPr>
        <w:keepNext w:val="0"/>
        <w:keepLines w:val="0"/>
        <w:pageBreakBefore w:val="0"/>
        <w:kinsoku/>
        <w:wordWrap/>
        <w:overflowPunct/>
        <w:topLinePunct w:val="0"/>
        <w:autoSpaceDE/>
        <w:autoSpaceDN/>
        <w:bidi w:val="0"/>
        <w:spacing w:line="360" w:lineRule="auto"/>
        <w:ind w:firstLine="235" w:firstLineChars="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t xml:space="preserve">（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 ①监狱企业参加采购活动时，提供由省级及以上监狱管理局、戒毒管理局（含新疆生产建设兵团）出具的属于监狱企业的证明文件。 ② 监狱企业视同小型、微型企业。 以上所有证明文件复印件须加盖投标人公章并注明“与原件一致”，否则不予价格扣除。评标委员会审查此项响应性只根据投标文件本身的内容，而不寻求其他的外部证据。 《三部门联合发布关于促进残疾人就业政府采购政策的通知》价格的扣除： </w:t>
      </w:r>
    </w:p>
    <w:p>
      <w:pPr>
        <w:keepNext w:val="0"/>
        <w:keepLines w:val="0"/>
        <w:pageBreakBefore w:val="0"/>
        <w:kinsoku/>
        <w:wordWrap/>
        <w:overflowPunct/>
        <w:topLinePunct w:val="0"/>
        <w:autoSpaceDE/>
        <w:autoSpaceDN/>
        <w:bidi w:val="0"/>
        <w:spacing w:line="360" w:lineRule="auto"/>
        <w:ind w:firstLine="475" w:firstLineChars="1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fldChar w:fldCharType="begin"/>
      </w:r>
      <w:r>
        <w:rPr>
          <w:rStyle w:val="43"/>
          <w:rFonts w:hint="eastAsia" w:asciiTheme="minorEastAsia" w:hAnsiTheme="minorEastAsia" w:eastAsiaTheme="minorEastAsia" w:cstheme="minorEastAsia"/>
          <w:b w:val="0"/>
          <w:sz w:val="24"/>
          <w:szCs w:val="24"/>
          <w:highlight w:val="none"/>
        </w:rPr>
        <w:instrText xml:space="preserve"> = 1 \* GB3 \* MERGEFORMAT </w:instrText>
      </w:r>
      <w:r>
        <w:rPr>
          <w:rStyle w:val="43"/>
          <w:rFonts w:hint="eastAsia" w:asciiTheme="minorEastAsia" w:hAnsiTheme="minorEastAsia" w:eastAsiaTheme="minorEastAsia" w:cstheme="minorEastAsia"/>
          <w:b w:val="0"/>
          <w:sz w:val="24"/>
          <w:szCs w:val="24"/>
          <w:highlight w:val="none"/>
        </w:rPr>
        <w:fldChar w:fldCharType="separate"/>
      </w:r>
      <w:r>
        <w:rPr>
          <w:highlight w:val="none"/>
        </w:rPr>
        <w:t>①</w:t>
      </w:r>
      <w:r>
        <w:rPr>
          <w:rStyle w:val="43"/>
          <w:rFonts w:hint="eastAsia" w:asciiTheme="minorEastAsia" w:hAnsiTheme="minorEastAsia" w:eastAsiaTheme="minorEastAsia" w:cstheme="minorEastAsia"/>
          <w:b w:val="0"/>
          <w:sz w:val="24"/>
          <w:szCs w:val="24"/>
          <w:highlight w:val="none"/>
        </w:rPr>
        <w:fldChar w:fldCharType="end"/>
      </w:r>
      <w:r>
        <w:rPr>
          <w:rStyle w:val="43"/>
          <w:rFonts w:hint="eastAsia" w:asciiTheme="minorEastAsia" w:hAnsiTheme="minorEastAsia" w:eastAsiaTheme="minorEastAsia" w:cstheme="minorEastAsia"/>
          <w:b w:val="0"/>
          <w:sz w:val="24"/>
          <w:szCs w:val="24"/>
          <w:highlight w:val="none"/>
          <w:lang w:val="en-US" w:eastAsia="zh-CN"/>
        </w:rPr>
        <w:t xml:space="preserve"> </w:t>
      </w:r>
      <w:r>
        <w:rPr>
          <w:rStyle w:val="43"/>
          <w:rFonts w:hint="eastAsia" w:asciiTheme="minorEastAsia" w:hAnsiTheme="minorEastAsia" w:eastAsiaTheme="minorEastAsia" w:cstheme="minorEastAsia"/>
          <w:b w:val="0"/>
          <w:sz w:val="24"/>
          <w:szCs w:val="24"/>
          <w:highlight w:val="none"/>
        </w:rPr>
        <w:t xml:space="preserve">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 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w:t>
      </w:r>
    </w:p>
    <w:p>
      <w:pPr>
        <w:keepNext w:val="0"/>
        <w:keepLines w:val="0"/>
        <w:pageBreakBefore w:val="0"/>
        <w:kinsoku/>
        <w:wordWrap/>
        <w:overflowPunct/>
        <w:topLinePunct w:val="0"/>
        <w:autoSpaceDE/>
        <w:autoSpaceDN/>
        <w:bidi w:val="0"/>
        <w:spacing w:line="360" w:lineRule="auto"/>
        <w:ind w:firstLine="235" w:firstLineChars="98"/>
        <w:textAlignment w:val="auto"/>
        <w:rPr>
          <w:rStyle w:val="43"/>
          <w:rFonts w:hint="eastAsia" w:asciiTheme="minorEastAsia" w:hAnsiTheme="minorEastAsia" w:eastAsiaTheme="minorEastAsia" w:cstheme="minorEastAsia"/>
          <w:b w:val="0"/>
          <w:sz w:val="24"/>
          <w:szCs w:val="24"/>
          <w:highlight w:val="none"/>
        </w:rPr>
      </w:pPr>
      <w:r>
        <w:rPr>
          <w:rStyle w:val="43"/>
          <w:rFonts w:hint="eastAsia" w:asciiTheme="minorEastAsia" w:hAnsiTheme="minorEastAsia" w:eastAsiaTheme="minorEastAsia" w:cstheme="minorEastAsia"/>
          <w:b w:val="0"/>
          <w:sz w:val="24"/>
          <w:szCs w:val="24"/>
          <w:highlight w:val="none"/>
        </w:rPr>
        <w:fldChar w:fldCharType="begin"/>
      </w:r>
      <w:r>
        <w:rPr>
          <w:rStyle w:val="43"/>
          <w:rFonts w:hint="eastAsia" w:asciiTheme="minorEastAsia" w:hAnsiTheme="minorEastAsia" w:eastAsiaTheme="minorEastAsia" w:cstheme="minorEastAsia"/>
          <w:b w:val="0"/>
          <w:sz w:val="24"/>
          <w:szCs w:val="24"/>
          <w:highlight w:val="none"/>
        </w:rPr>
        <w:instrText xml:space="preserve"> = 2 \* GB3 \* MERGEFORMAT </w:instrText>
      </w:r>
      <w:r>
        <w:rPr>
          <w:rStyle w:val="43"/>
          <w:rFonts w:hint="eastAsia" w:asciiTheme="minorEastAsia" w:hAnsiTheme="minorEastAsia" w:eastAsiaTheme="minorEastAsia" w:cstheme="minorEastAsia"/>
          <w:b w:val="0"/>
          <w:sz w:val="24"/>
          <w:szCs w:val="24"/>
          <w:highlight w:val="none"/>
        </w:rPr>
        <w:fldChar w:fldCharType="separate"/>
      </w:r>
      <w:r>
        <w:rPr>
          <w:highlight w:val="none"/>
        </w:rPr>
        <w:t>②</w:t>
      </w:r>
      <w:r>
        <w:rPr>
          <w:rStyle w:val="43"/>
          <w:rFonts w:hint="eastAsia" w:asciiTheme="minorEastAsia" w:hAnsiTheme="minorEastAsia" w:eastAsiaTheme="minorEastAsia" w:cstheme="minorEastAsia"/>
          <w:b w:val="0"/>
          <w:sz w:val="24"/>
          <w:szCs w:val="24"/>
          <w:highlight w:val="none"/>
        </w:rPr>
        <w:fldChar w:fldCharType="end"/>
      </w:r>
      <w:r>
        <w:rPr>
          <w:rStyle w:val="43"/>
          <w:rFonts w:hint="eastAsia" w:asciiTheme="minorEastAsia" w:hAnsiTheme="minorEastAsia" w:eastAsiaTheme="minorEastAsia" w:cstheme="minorEastAsia"/>
          <w:b w:val="0"/>
          <w:sz w:val="24"/>
          <w:szCs w:val="24"/>
          <w:highlight w:val="none"/>
          <w:lang w:val="en-US" w:eastAsia="zh-CN"/>
        </w:rPr>
        <w:t xml:space="preserve"> </w:t>
      </w:r>
      <w:r>
        <w:rPr>
          <w:rStyle w:val="43"/>
          <w:rFonts w:hint="eastAsia" w:asciiTheme="minorEastAsia" w:hAnsiTheme="minorEastAsia" w:eastAsiaTheme="minorEastAsia" w:cstheme="minorEastAsia"/>
          <w:b w:val="0"/>
          <w:sz w:val="24"/>
          <w:szCs w:val="24"/>
          <w:highlight w:val="none"/>
        </w:rPr>
        <w:t xml:space="preserve">符合条件的残疾人福利性单位在参加政府采购活动时，应当提供《三部门联合发布关于促进残疾人就业政府采购政策的通知》规定的《残疾人福利性单位声明函》(见中国政府采购网 http://www.ccgp.gov.cn/news/201709/t20170901_8784576.htm )，并对声明的真实性负责。 </w:t>
      </w:r>
    </w:p>
    <w:p>
      <w:pPr>
        <w:keepNext w:val="0"/>
        <w:keepLines w:val="0"/>
        <w:pageBreakBefore w:val="0"/>
        <w:kinsoku/>
        <w:wordWrap/>
        <w:overflowPunct/>
        <w:topLinePunct w:val="0"/>
        <w:autoSpaceDE/>
        <w:autoSpaceDN/>
        <w:bidi w:val="0"/>
        <w:spacing w:line="360" w:lineRule="auto"/>
        <w:ind w:firstLine="235" w:firstLineChars="98"/>
        <w:textAlignment w:val="auto"/>
        <w:rPr>
          <w:rFonts w:hint="eastAsia" w:asciiTheme="minorEastAsia" w:hAnsiTheme="minorEastAsia" w:eastAsiaTheme="minorEastAsia" w:cstheme="minorEastAsia"/>
          <w:bCs/>
          <w:sz w:val="24"/>
          <w:szCs w:val="24"/>
          <w:highlight w:val="none"/>
        </w:rPr>
      </w:pPr>
      <w:r>
        <w:rPr>
          <w:rStyle w:val="43"/>
          <w:rFonts w:hint="eastAsia" w:asciiTheme="minorEastAsia" w:hAnsiTheme="minorEastAsia" w:eastAsiaTheme="minorEastAsia" w:cstheme="minorEastAsia"/>
          <w:b w:val="0"/>
          <w:sz w:val="24"/>
          <w:szCs w:val="24"/>
          <w:highlight w:val="none"/>
        </w:rPr>
        <w:fldChar w:fldCharType="begin"/>
      </w:r>
      <w:r>
        <w:rPr>
          <w:rStyle w:val="43"/>
          <w:rFonts w:hint="eastAsia" w:asciiTheme="minorEastAsia" w:hAnsiTheme="minorEastAsia" w:eastAsiaTheme="minorEastAsia" w:cstheme="minorEastAsia"/>
          <w:b w:val="0"/>
          <w:sz w:val="24"/>
          <w:szCs w:val="24"/>
          <w:highlight w:val="none"/>
        </w:rPr>
        <w:instrText xml:space="preserve"> = 3 \* GB3 \* MERGEFORMAT </w:instrText>
      </w:r>
      <w:r>
        <w:rPr>
          <w:rStyle w:val="43"/>
          <w:rFonts w:hint="eastAsia" w:asciiTheme="minorEastAsia" w:hAnsiTheme="minorEastAsia" w:eastAsiaTheme="minorEastAsia" w:cstheme="minorEastAsia"/>
          <w:b w:val="0"/>
          <w:sz w:val="24"/>
          <w:szCs w:val="24"/>
          <w:highlight w:val="none"/>
        </w:rPr>
        <w:fldChar w:fldCharType="separate"/>
      </w:r>
      <w:r>
        <w:rPr>
          <w:highlight w:val="none"/>
        </w:rPr>
        <w:t>③</w:t>
      </w:r>
      <w:r>
        <w:rPr>
          <w:rStyle w:val="43"/>
          <w:rFonts w:hint="eastAsia" w:asciiTheme="minorEastAsia" w:hAnsiTheme="minorEastAsia" w:eastAsiaTheme="minorEastAsia" w:cstheme="minorEastAsia"/>
          <w:b w:val="0"/>
          <w:sz w:val="24"/>
          <w:szCs w:val="24"/>
          <w:highlight w:val="none"/>
        </w:rPr>
        <w:fldChar w:fldCharType="end"/>
      </w:r>
      <w:r>
        <w:rPr>
          <w:rStyle w:val="43"/>
          <w:rFonts w:hint="eastAsia" w:asciiTheme="minorEastAsia" w:hAnsiTheme="minorEastAsia" w:eastAsiaTheme="minorEastAsia" w:cstheme="minorEastAsia"/>
          <w:b w:val="0"/>
          <w:sz w:val="24"/>
          <w:szCs w:val="24"/>
          <w:highlight w:val="none"/>
          <w:lang w:val="en-US" w:eastAsia="zh-CN"/>
        </w:rPr>
        <w:t xml:space="preserve"> </w:t>
      </w:r>
      <w:r>
        <w:rPr>
          <w:rStyle w:val="43"/>
          <w:rFonts w:hint="eastAsia" w:asciiTheme="minorEastAsia" w:hAnsiTheme="minorEastAsia" w:eastAsiaTheme="minorEastAsia" w:cstheme="minorEastAsia"/>
          <w:b w:val="0"/>
          <w:sz w:val="24"/>
          <w:szCs w:val="24"/>
          <w:highlight w:val="none"/>
        </w:rPr>
        <w:t>在政府采购活动中，残疾人福利性单位视同小型、微型企业，享受“《政府采购促进中小企业发展暂行办法》价格的扣除”的政府采购政策。残疾人福利性单位属于小型、微型企业的，不重复享受政策。</w:t>
      </w:r>
    </w:p>
    <w:p>
      <w:pPr>
        <w:pageBreakBefore w:val="0"/>
        <w:kinsoku/>
        <w:overflowPunct/>
        <w:bidi w:val="0"/>
        <w:spacing w:line="360" w:lineRule="auto"/>
        <w:rPr>
          <w:rFonts w:ascii="宋体" w:hAnsi="宋体" w:cs="宋体"/>
          <w:sz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 4 \* GB3 \* MERGEFORMAT </w:instrText>
      </w:r>
      <w:r>
        <w:rPr>
          <w:rFonts w:hint="eastAsia" w:asciiTheme="minorEastAsia" w:hAnsiTheme="minorEastAsia" w:eastAsiaTheme="minorEastAsia" w:cstheme="minorEastAsia"/>
          <w:sz w:val="24"/>
          <w:szCs w:val="24"/>
          <w:highlight w:val="none"/>
        </w:rPr>
        <w:fldChar w:fldCharType="separate"/>
      </w:r>
      <w:r>
        <w:rPr>
          <w:highlight w:val="none"/>
        </w:rPr>
        <w:t>④</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若所报投产品为进口产品的，不适用《政府采购促进中小企业发展暂行办法》。</w:t>
      </w:r>
    </w:p>
    <w:p>
      <w:pPr>
        <w:pageBreakBefore w:val="0"/>
        <w:kinsoku/>
        <w:overflowPunct/>
        <w:bidi w:val="0"/>
        <w:spacing w:line="360" w:lineRule="auto"/>
        <w:rPr>
          <w:rFonts w:ascii="宋体" w:hAnsi="宋体" w:cs="宋体"/>
          <w:b/>
          <w:sz w:val="24"/>
          <w:highlight w:val="none"/>
        </w:rPr>
      </w:pPr>
      <w:r>
        <w:rPr>
          <w:rFonts w:hint="eastAsia" w:ascii="宋体" w:hAnsi="宋体" w:cs="宋体"/>
          <w:b/>
          <w:sz w:val="24"/>
          <w:highlight w:val="none"/>
        </w:rPr>
        <w:t>五、废标条款</w:t>
      </w:r>
    </w:p>
    <w:p>
      <w:pPr>
        <w:pageBreakBefore w:val="0"/>
        <w:kinsoku/>
        <w:overflowPunct/>
        <w:bidi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在招标采购中，出现下列情形之一的，应予废标：</w:t>
      </w:r>
    </w:p>
    <w:p>
      <w:pPr>
        <w:pageBreakBefore w:val="0"/>
        <w:kinsoku/>
        <w:overflowPunct/>
        <w:bidi w:val="0"/>
        <w:spacing w:line="360" w:lineRule="auto"/>
        <w:rPr>
          <w:rFonts w:ascii="宋体" w:hAnsi="宋体" w:cs="宋体"/>
          <w:kern w:val="0"/>
          <w:sz w:val="24"/>
          <w:highlight w:val="none"/>
        </w:rPr>
      </w:pPr>
      <w:r>
        <w:rPr>
          <w:rFonts w:hint="eastAsia" w:ascii="宋体" w:hAnsi="宋体" w:cs="宋体"/>
          <w:kern w:val="0"/>
          <w:sz w:val="24"/>
          <w:highlight w:val="none"/>
        </w:rPr>
        <w:t>　　(</w:t>
      </w:r>
      <w:r>
        <w:rPr>
          <w:rFonts w:hint="eastAsia" w:ascii="宋体" w:hAnsi="宋体" w:cs="宋体"/>
          <w:kern w:val="0"/>
          <w:sz w:val="24"/>
          <w:highlight w:val="none"/>
          <w:lang w:eastAsia="zh-CN"/>
        </w:rPr>
        <w:t>一</w:t>
      </w:r>
      <w:r>
        <w:rPr>
          <w:rFonts w:hint="eastAsia" w:ascii="宋体" w:hAnsi="宋体" w:cs="宋体"/>
          <w:kern w:val="0"/>
          <w:sz w:val="24"/>
          <w:highlight w:val="none"/>
        </w:rPr>
        <w:t xml:space="preserve">)出现影响采购公正的违法、违规行为的； </w:t>
      </w:r>
    </w:p>
    <w:p>
      <w:pPr>
        <w:pageBreakBefore w:val="0"/>
        <w:kinsoku/>
        <w:overflowPunct/>
        <w:bidi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w:t>
      </w:r>
      <w:r>
        <w:rPr>
          <w:rFonts w:hint="eastAsia" w:ascii="宋体" w:hAnsi="宋体" w:cs="宋体"/>
          <w:kern w:val="0"/>
          <w:sz w:val="24"/>
          <w:highlight w:val="none"/>
          <w:lang w:eastAsia="zh-CN"/>
        </w:rPr>
        <w:t>二</w:t>
      </w:r>
      <w:r>
        <w:rPr>
          <w:rFonts w:hint="eastAsia" w:ascii="宋体" w:hAnsi="宋体" w:cs="宋体"/>
          <w:kern w:val="0"/>
          <w:sz w:val="24"/>
          <w:highlight w:val="none"/>
        </w:rPr>
        <w:t>)投标人的报价超过了采购预算，</w:t>
      </w:r>
      <w:r>
        <w:rPr>
          <w:rFonts w:hint="eastAsia" w:ascii="宋体" w:hAnsi="宋体" w:cs="宋体"/>
          <w:kern w:val="0"/>
          <w:sz w:val="24"/>
          <w:highlight w:val="none"/>
          <w:lang w:eastAsia="zh-CN"/>
        </w:rPr>
        <w:t>采购人</w:t>
      </w:r>
      <w:r>
        <w:rPr>
          <w:rFonts w:hint="eastAsia" w:ascii="宋体" w:hAnsi="宋体" w:cs="宋体"/>
          <w:kern w:val="0"/>
          <w:sz w:val="24"/>
          <w:highlight w:val="none"/>
        </w:rPr>
        <w:t xml:space="preserve">不能支付的； </w:t>
      </w:r>
    </w:p>
    <w:p>
      <w:pPr>
        <w:pageBreakBefore w:val="0"/>
        <w:kinsoku/>
        <w:overflowPunct/>
        <w:bidi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w:t>
      </w:r>
      <w:r>
        <w:rPr>
          <w:rFonts w:hint="eastAsia" w:ascii="宋体" w:hAnsi="宋体" w:cs="宋体"/>
          <w:kern w:val="0"/>
          <w:sz w:val="24"/>
          <w:highlight w:val="none"/>
          <w:lang w:eastAsia="zh-CN"/>
        </w:rPr>
        <w:t>三</w:t>
      </w:r>
      <w:r>
        <w:rPr>
          <w:rFonts w:hint="eastAsia" w:ascii="宋体" w:hAnsi="宋体" w:cs="宋体"/>
          <w:kern w:val="0"/>
          <w:sz w:val="24"/>
          <w:highlight w:val="none"/>
        </w:rPr>
        <w:t>)因重大变故，采购任务取消的。</w:t>
      </w:r>
    </w:p>
    <w:p>
      <w:pPr>
        <w:pageBreakBefore w:val="0"/>
        <w:kinsoku/>
        <w:overflowPunct/>
        <w:bidi w:val="0"/>
        <w:spacing w:line="360" w:lineRule="auto"/>
        <w:rPr>
          <w:highlight w:val="none"/>
        </w:rPr>
      </w:pP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kern w:val="0"/>
          <w:sz w:val="24"/>
          <w:highlight w:val="none"/>
        </w:rPr>
      </w:pPr>
    </w:p>
    <w:p>
      <w:pPr>
        <w:keepNext w:val="0"/>
        <w:keepLines w:val="0"/>
        <w:pageBreakBefore w:val="0"/>
        <w:kinsoku/>
        <w:overflowPunct/>
        <w:autoSpaceDE/>
        <w:autoSpaceDN/>
        <w:bidi w:val="0"/>
        <w:spacing w:line="360" w:lineRule="auto"/>
        <w:ind w:left="0" w:leftChars="0" w:firstLine="0" w:firstLineChars="0"/>
        <w:jc w:val="center"/>
        <w:textAlignment w:val="auto"/>
        <w:outlineLvl w:val="1"/>
        <w:rPr>
          <w:rFonts w:hint="eastAsia" w:ascii="宋体" w:hAnsi="宋体" w:eastAsia="宋体" w:cs="宋体"/>
          <w:b/>
          <w:color w:val="auto"/>
          <w:sz w:val="24"/>
          <w:highlight w:val="none"/>
        </w:rPr>
      </w:pPr>
      <w:r>
        <w:rPr>
          <w:rFonts w:hint="eastAsia" w:ascii="宋体" w:hAnsi="宋体" w:eastAsia="宋体" w:cs="宋体"/>
          <w:color w:val="auto"/>
          <w:sz w:val="36"/>
          <w:szCs w:val="36"/>
          <w:highlight w:val="none"/>
        </w:rPr>
        <w:br w:type="page"/>
      </w:r>
      <w:bookmarkStart w:id="40" w:name="_Toc492718043"/>
      <w:bookmarkStart w:id="41" w:name="_Toc9633"/>
      <w:r>
        <w:rPr>
          <w:rFonts w:hint="eastAsia" w:ascii="宋体" w:hAnsi="宋体" w:eastAsia="宋体" w:cs="宋体"/>
          <w:b/>
          <w:color w:val="auto"/>
          <w:sz w:val="24"/>
          <w:highlight w:val="none"/>
        </w:rPr>
        <w:t>一、说明</w:t>
      </w:r>
      <w:bookmarkEnd w:id="40"/>
      <w:bookmarkEnd w:id="41"/>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42" w:name="_Toc492718044"/>
      <w:bookmarkStart w:id="43" w:name="_Toc402169058"/>
      <w:r>
        <w:rPr>
          <w:rFonts w:hint="eastAsia" w:ascii="宋体" w:hAnsi="宋体" w:eastAsia="宋体" w:cs="宋体"/>
          <w:color w:val="auto"/>
          <w:sz w:val="24"/>
          <w:highlight w:val="none"/>
        </w:rPr>
        <w:t>1. 适用范围</w:t>
      </w:r>
      <w:bookmarkEnd w:id="42"/>
      <w:bookmarkEnd w:id="43"/>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1.1 本招标文件仅适用于投标邀请中所叙述项目的货物和服务采购。</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44" w:name="_Toc492718045"/>
      <w:bookmarkStart w:id="45" w:name="_Toc402169059"/>
      <w:r>
        <w:rPr>
          <w:rFonts w:hint="eastAsia" w:ascii="宋体" w:hAnsi="宋体" w:eastAsia="宋体" w:cs="宋体"/>
          <w:color w:val="auto"/>
          <w:sz w:val="24"/>
          <w:highlight w:val="none"/>
        </w:rPr>
        <w:t>2. 定义</w:t>
      </w:r>
      <w:bookmarkEnd w:id="44"/>
      <w:bookmarkEnd w:id="45"/>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 “</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”系指本次采购项目的业主方。</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2.2 “招标采购单位”系指组织本次招标活动的</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或招标代理机构。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2.3 “招标代理机构”系指本次招标采购项目活动组织方。</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2.4 “投标人”系指购买了本招标文件，且已经提交或者准备提交本次投标文件的制造商或供货商。</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 “货物”系指卖方按招标文件规定向买方提供的一切货物、备品备件、工具、手册及其它有关技术资料和材料。</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2.6“服务”系指招标文件规定卖方须承担的安装、调试、技术协助、校准、培训以及其他类似的义务。</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46" w:name="_Toc492718046"/>
      <w:r>
        <w:rPr>
          <w:rFonts w:hint="eastAsia" w:ascii="宋体" w:hAnsi="宋体" w:eastAsia="宋体" w:cs="宋体"/>
          <w:color w:val="auto"/>
          <w:sz w:val="24"/>
          <w:highlight w:val="none"/>
        </w:rPr>
        <w:t>3. 合格的投标人</w:t>
      </w:r>
      <w:bookmarkEnd w:id="46"/>
    </w:p>
    <w:p>
      <w:pPr>
        <w:keepNext w:val="0"/>
        <w:keepLines w:val="0"/>
        <w:pageBreakBefore w:val="0"/>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3.合格的投标人</w:t>
      </w:r>
    </w:p>
    <w:p>
      <w:pPr>
        <w:keepNext w:val="0"/>
        <w:keepLines w:val="0"/>
        <w:pageBreakBefore w:val="0"/>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3.1在投标人须知前附表中第2项号所规定的资格条件。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3.2 投标人应遵守中国的有关法律、法规和规章的规定。</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投标人参加采购活动前三年内，在经营活动中没有重大违法记录。</w:t>
      </w:r>
      <w:r>
        <w:rPr>
          <w:rFonts w:hint="eastAsia" w:ascii="宋体" w:hAnsi="宋体" w:eastAsia="宋体" w:cs="宋体"/>
          <w:color w:val="auto"/>
          <w:kern w:val="0"/>
          <w:sz w:val="24"/>
          <w:highlight w:val="none"/>
        </w:rPr>
        <w:t>重大违法记录，是指</w:t>
      </w:r>
      <w:r>
        <w:rPr>
          <w:rFonts w:hint="eastAsia" w:ascii="宋体" w:hAnsi="宋体" w:eastAsia="宋体" w:cs="宋体"/>
          <w:color w:val="auto"/>
          <w:kern w:val="0"/>
          <w:sz w:val="24"/>
          <w:highlight w:val="none"/>
          <w:lang w:eastAsia="zh-CN"/>
        </w:rPr>
        <w:t>投标人</w:t>
      </w:r>
      <w:r>
        <w:rPr>
          <w:rFonts w:hint="eastAsia" w:ascii="宋体" w:hAnsi="宋体" w:eastAsia="宋体" w:cs="宋体"/>
          <w:color w:val="auto"/>
          <w:kern w:val="0"/>
          <w:sz w:val="24"/>
          <w:highlight w:val="none"/>
        </w:rPr>
        <w:t>因违法经营受到刑事处罚或者责令停产停业、吊销许可证或者执照、较大数额罚款等行政处罚。</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单位负责人为同一人或者存在控股、管理关系的不同单位，不得参加同一标段投标或者未划分标段的同一招标项目投标。</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与</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存在利害关系可能影响招标公正性的法人、其他组织或者个人，不得参加投标。</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投标代理人在同一个项目中只能接受一个投标人的委托参加投标。</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47" w:name="_Toc492718047"/>
      <w:bookmarkStart w:id="48" w:name="_Toc458611243"/>
      <w:r>
        <w:rPr>
          <w:rFonts w:hint="eastAsia" w:ascii="宋体" w:hAnsi="宋体" w:eastAsia="宋体" w:cs="宋体"/>
          <w:color w:val="auto"/>
          <w:sz w:val="24"/>
          <w:highlight w:val="none"/>
        </w:rPr>
        <w:t>4. 登记报名</w:t>
      </w:r>
      <w:bookmarkEnd w:id="47"/>
      <w:bookmarkEnd w:id="48"/>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4.1投标人应当从招标代理机构合法获得本项目的招标文件并登记报名，否则提出的质疑或提交的投标文件将被拒收。</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49" w:name="_Toc492718048"/>
      <w:r>
        <w:rPr>
          <w:rFonts w:hint="eastAsia" w:ascii="宋体" w:hAnsi="宋体" w:eastAsia="宋体" w:cs="宋体"/>
          <w:color w:val="auto"/>
          <w:sz w:val="24"/>
          <w:highlight w:val="none"/>
        </w:rPr>
        <w:t>5. 投标费用</w:t>
      </w:r>
      <w:bookmarkEnd w:id="49"/>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5.1投标人自行承担其参加投标所涉及的一切费用。</w:t>
      </w:r>
    </w:p>
    <w:p>
      <w:pPr>
        <w:keepNext w:val="0"/>
        <w:keepLines w:val="0"/>
        <w:pageBreakBefore w:val="0"/>
        <w:kinsoku/>
        <w:overflowPunct/>
        <w:autoSpaceDE/>
        <w:autoSpaceDN/>
        <w:bidi w:val="0"/>
        <w:spacing w:line="360" w:lineRule="auto"/>
        <w:ind w:left="0" w:leftChars="0" w:firstLine="0" w:firstLineChars="0"/>
        <w:jc w:val="center"/>
        <w:textAlignment w:val="auto"/>
        <w:outlineLvl w:val="1"/>
        <w:rPr>
          <w:rFonts w:hint="eastAsia" w:ascii="宋体" w:hAnsi="宋体" w:eastAsia="宋体" w:cs="宋体"/>
          <w:b/>
          <w:color w:val="auto"/>
          <w:sz w:val="24"/>
          <w:highlight w:val="none"/>
        </w:rPr>
      </w:pPr>
      <w:bookmarkStart w:id="50" w:name="_Toc492718049"/>
      <w:bookmarkStart w:id="51" w:name="_Toc29602"/>
      <w:r>
        <w:rPr>
          <w:rFonts w:hint="eastAsia" w:ascii="宋体" w:hAnsi="宋体" w:eastAsia="宋体" w:cs="宋体"/>
          <w:b/>
          <w:color w:val="auto"/>
          <w:sz w:val="24"/>
          <w:highlight w:val="none"/>
        </w:rPr>
        <w:t>二、招标文件</w:t>
      </w:r>
      <w:bookmarkEnd w:id="50"/>
      <w:bookmarkEnd w:id="51"/>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52" w:name="_Toc492718050"/>
      <w:r>
        <w:rPr>
          <w:rFonts w:hint="eastAsia" w:ascii="宋体" w:hAnsi="宋体" w:eastAsia="宋体" w:cs="宋体"/>
          <w:color w:val="auto"/>
          <w:sz w:val="24"/>
          <w:highlight w:val="none"/>
        </w:rPr>
        <w:t>6. 招标文件的组成</w:t>
      </w:r>
      <w:bookmarkEnd w:id="52"/>
    </w:p>
    <w:p>
      <w:pPr>
        <w:pStyle w:val="5"/>
        <w:keepNext w:val="0"/>
        <w:keepLines w:val="0"/>
        <w:pageBreakBefore w:val="0"/>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6.1招标文件用以阐明所需货物招标程序和合同主要条款。招标文件由下述部分组成：</w:t>
      </w:r>
    </w:p>
    <w:p>
      <w:pPr>
        <w:pStyle w:val="5"/>
        <w:keepNext w:val="0"/>
        <w:keepLines w:val="0"/>
        <w:pageBreakBefore w:val="0"/>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 投标邀请</w:t>
      </w:r>
    </w:p>
    <w:p>
      <w:pPr>
        <w:pStyle w:val="5"/>
        <w:keepNext w:val="0"/>
        <w:keepLines w:val="0"/>
        <w:pageBreakBefore w:val="0"/>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 投标人须知</w:t>
      </w:r>
    </w:p>
    <w:p>
      <w:pPr>
        <w:pStyle w:val="5"/>
        <w:keepNext w:val="0"/>
        <w:keepLines w:val="0"/>
        <w:pageBreakBefore w:val="0"/>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 招标内容及要求</w:t>
      </w:r>
    </w:p>
    <w:p>
      <w:pPr>
        <w:pStyle w:val="5"/>
        <w:keepNext w:val="0"/>
        <w:keepLines w:val="0"/>
        <w:pageBreakBefore w:val="0"/>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 合同(参考文本)</w:t>
      </w:r>
    </w:p>
    <w:p>
      <w:pPr>
        <w:pStyle w:val="5"/>
        <w:keepNext w:val="0"/>
        <w:keepLines w:val="0"/>
        <w:pageBreakBefore w:val="0"/>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 投标文件格式</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 招标文件的澄清</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.1 投标人对招标文件如有疑问，可申请澄清。申请澄清时应以书面形式并附上营业执照</w:t>
      </w:r>
      <w:r>
        <w:rPr>
          <w:rFonts w:hint="eastAsia" w:ascii="宋体" w:hAnsi="宋体" w:eastAsia="宋体" w:cs="宋体"/>
          <w:color w:val="auto"/>
          <w:sz w:val="24"/>
          <w:highlight w:val="none"/>
          <w:lang w:eastAsia="zh-CN"/>
        </w:rPr>
        <w:t>复印件</w:t>
      </w:r>
      <w:r>
        <w:rPr>
          <w:rFonts w:hint="eastAsia" w:ascii="宋体" w:hAnsi="宋体" w:eastAsia="宋体" w:cs="宋体"/>
          <w:color w:val="auto"/>
          <w:sz w:val="24"/>
          <w:highlight w:val="none"/>
        </w:rPr>
        <w:t>和法人</w:t>
      </w:r>
      <w:r>
        <w:rPr>
          <w:rFonts w:hint="eastAsia" w:ascii="宋体" w:hAnsi="宋体" w:eastAsia="宋体" w:cs="宋体"/>
          <w:color w:val="auto"/>
          <w:sz w:val="24"/>
          <w:highlight w:val="none"/>
          <w:lang w:eastAsia="zh-CN"/>
        </w:rPr>
        <w:t>授权书</w:t>
      </w:r>
      <w:r>
        <w:rPr>
          <w:rFonts w:hint="eastAsia" w:ascii="宋体" w:hAnsi="宋体" w:eastAsia="宋体" w:cs="宋体"/>
          <w:color w:val="auto"/>
          <w:sz w:val="24"/>
          <w:highlight w:val="none"/>
        </w:rPr>
        <w:t>原件提交采购人或招标代理机构。招标代理机构将视情况在投标截止时间前15个日历日（如至原定截止时间不足15个日历日，则需延长开标时间）前将不标明查询来源的书面答复发给</w:t>
      </w:r>
      <w:r>
        <w:rPr>
          <w:rFonts w:ascii="宋体" w:hAnsi="宋体"/>
          <w:sz w:val="24"/>
          <w:highlight w:val="none"/>
        </w:rPr>
        <w:t>所有招标文件收受人</w:t>
      </w:r>
      <w:r>
        <w:rPr>
          <w:rFonts w:hint="eastAsia" w:ascii="宋体" w:hAnsi="宋体" w:eastAsia="宋体" w:cs="宋体"/>
          <w:color w:val="auto"/>
          <w:sz w:val="24"/>
          <w:highlight w:val="none"/>
        </w:rPr>
        <w:t>，并在采购信息发布的媒体上发布更正公告。该澄清内容为招标文件的组成部分。</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53" w:name="_Toc430489120"/>
      <w:bookmarkStart w:id="54" w:name="_Toc415567498"/>
      <w:bookmarkStart w:id="55" w:name="_Toc430490613"/>
      <w:bookmarkStart w:id="56" w:name="_Toc430488645"/>
      <w:bookmarkStart w:id="57" w:name="_Toc430488852"/>
      <w:bookmarkStart w:id="58" w:name="_Toc430422414"/>
      <w:bookmarkStart w:id="59" w:name="_Toc430492127"/>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 招标文件的修改</w:t>
      </w:r>
      <w:bookmarkEnd w:id="53"/>
      <w:bookmarkEnd w:id="54"/>
      <w:bookmarkEnd w:id="55"/>
      <w:bookmarkEnd w:id="56"/>
      <w:bookmarkEnd w:id="57"/>
      <w:bookmarkEnd w:id="58"/>
      <w:bookmarkEnd w:id="59"/>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.1至投标截止日期前15日（如至原定截止时间不足15个日历日，则需延长开标时间），招标代理机构可主动或依投标人要求澄清的问题而修改招标文件，应在原信息发布的媒体上发布更正公告，并以书面形式通知</w:t>
      </w:r>
      <w:r>
        <w:rPr>
          <w:rFonts w:ascii="宋体" w:hAnsi="宋体"/>
          <w:sz w:val="24"/>
          <w:highlight w:val="none"/>
        </w:rPr>
        <w:t>所有招标文件收受人</w:t>
      </w:r>
      <w:r>
        <w:rPr>
          <w:rFonts w:hint="eastAsia" w:ascii="宋体" w:hAnsi="宋体" w:eastAsia="宋体" w:cs="宋体"/>
          <w:color w:val="auto"/>
          <w:sz w:val="24"/>
          <w:highlight w:val="none"/>
        </w:rPr>
        <w:t>。该修改内容为招标文件的组成部分，对投标人具有约束力。但本招标文件第</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.2条规定的推迟投标截止时间和开标时间情形不受本条约束。</w:t>
      </w:r>
    </w:p>
    <w:p>
      <w:pPr>
        <w:keepNext w:val="0"/>
        <w:keepLines w:val="0"/>
        <w:pageBreakBefore w:val="0"/>
        <w:kinsoku/>
        <w:overflowPunct/>
        <w:autoSpaceDE/>
        <w:autoSpaceDN/>
        <w:bidi w:val="0"/>
        <w:spacing w:line="360" w:lineRule="auto"/>
        <w:ind w:firstLine="480" w:firstLineChars="200"/>
        <w:textAlignment w:val="auto"/>
        <w:outlineLvl w:val="9"/>
        <w:rPr>
          <w:rFonts w:hint="eastAsia"/>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2为使投标人在准备投标文件时有合理的时间考虑招标文件的修改，招标代理机构可酌情推迟投标截止时间和开标时间，并在采购信息发布的媒体上发布更正公告。该修改内容为招标文件的组成部分。在此情况下，</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和投标人受投标截止期制约的所有权利和义务均应延长至新的截止日期。</w:t>
      </w:r>
    </w:p>
    <w:p>
      <w:pPr>
        <w:keepNext w:val="0"/>
        <w:keepLines w:val="0"/>
        <w:pageBreakBefore w:val="0"/>
        <w:kinsoku/>
        <w:overflowPunct/>
        <w:autoSpaceDE/>
        <w:autoSpaceDN/>
        <w:bidi w:val="0"/>
        <w:spacing w:line="360" w:lineRule="auto"/>
        <w:jc w:val="center"/>
        <w:textAlignment w:val="auto"/>
        <w:outlineLvl w:val="1"/>
        <w:rPr>
          <w:rFonts w:hint="eastAsia" w:ascii="宋体" w:hAnsi="宋体" w:eastAsia="宋体" w:cs="宋体"/>
          <w:b/>
          <w:color w:val="auto"/>
          <w:sz w:val="24"/>
          <w:highlight w:val="none"/>
        </w:rPr>
      </w:pPr>
      <w:bookmarkStart w:id="60" w:name="_Toc402169066"/>
      <w:bookmarkStart w:id="61" w:name="_Toc492718052"/>
      <w:bookmarkStart w:id="62" w:name="_Toc16469"/>
      <w:r>
        <w:rPr>
          <w:rFonts w:hint="eastAsia" w:ascii="宋体" w:hAnsi="宋体" w:eastAsia="宋体" w:cs="宋体"/>
          <w:b/>
          <w:color w:val="auto"/>
          <w:sz w:val="24"/>
          <w:highlight w:val="none"/>
        </w:rPr>
        <w:t>三、投标文件的编写</w:t>
      </w:r>
      <w:bookmarkEnd w:id="60"/>
      <w:bookmarkEnd w:id="61"/>
      <w:bookmarkEnd w:id="62"/>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63" w:name="_Toc492718053"/>
      <w:bookmarkStart w:id="64" w:name="_Toc402169067"/>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 要求</w:t>
      </w:r>
      <w:bookmarkEnd w:id="63"/>
      <w:bookmarkEnd w:id="64"/>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.1投标人应仔细阅读招标文件的所有内容，按照招标文件的要求提交投标文件。投标文件应对招标文件的要求做出实质性响应，应对所提供的证明或佐证材料真实性负责，提供虚假材料谋取中标的其投标无效。</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.2招标代理机构不接受有任何可选择性的报价，</w:t>
      </w:r>
      <w:r>
        <w:rPr>
          <w:rFonts w:hint="eastAsia" w:ascii="宋体" w:hAnsi="宋体" w:eastAsia="宋体" w:cs="宋体"/>
          <w:color w:val="auto"/>
          <w:sz w:val="24"/>
          <w:highlight w:val="none"/>
          <w:lang w:eastAsia="zh-CN"/>
        </w:rPr>
        <w:t>每一合同包</w:t>
      </w:r>
      <w:r>
        <w:rPr>
          <w:rFonts w:hint="eastAsia" w:ascii="宋体" w:hAnsi="宋体" w:eastAsia="宋体" w:cs="宋体"/>
          <w:color w:val="auto"/>
          <w:sz w:val="24"/>
          <w:highlight w:val="none"/>
        </w:rPr>
        <w:t>只能有一个报价。</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65" w:name="_Toc492718054"/>
      <w:bookmarkStart w:id="66" w:name="_Toc402169068"/>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 投标文件语言</w:t>
      </w:r>
      <w:bookmarkEnd w:id="65"/>
      <w:bookmarkEnd w:id="66"/>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1投标文件应用中文书写。投标文件中所附或所引用的原件不是中文时，必须提供具有翻译资质的机构翻译的中文译本。翻译机构应为中国翻译协会成员单位，翻译的中文译本应由翻译人员签名并加盖翻译机构公章，同时提供翻译人员翻译资格证书。投标人投标时提供的中文译本、翻译机构及翻译人员资格证书可为复印件，并加盖投标人公章。各种计量单位及符号应采用国际上统一使用的公制计量单位和符号。</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.2中文译本未按上述要求提供的，认定为该项资格或技术商务的证明文件/材料无效，即该项资格或技术商务要求不符合。</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67" w:name="_Toc492718055"/>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 投标文件的组成</w:t>
      </w:r>
      <w:bookmarkEnd w:id="67"/>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.1投标文件应包括下列部分</w:t>
      </w:r>
    </w:p>
    <w:p>
      <w:pPr>
        <w:keepNext w:val="0"/>
        <w:keepLines w:val="0"/>
        <w:pageBreakBefore w:val="0"/>
        <w:kinsoku/>
        <w:overflowPunct/>
        <w:autoSpaceDE/>
        <w:autoSpaceDN/>
        <w:bidi w:val="0"/>
        <w:spacing w:line="360" w:lineRule="auto"/>
        <w:ind w:firstLine="482" w:firstLineChars="200"/>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（一）资格及资信证明部分（单独胶装并密封）</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①投标函</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②投标人的资格及资信证明文件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③保证金提交声明函</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④退回投标保证金的申请函</w:t>
      </w:r>
    </w:p>
    <w:p>
      <w:pPr>
        <w:keepNext w:val="0"/>
        <w:keepLines w:val="0"/>
        <w:pageBreakBefore w:val="0"/>
        <w:kinsoku/>
        <w:overflowPunct/>
        <w:autoSpaceDE/>
        <w:autoSpaceDN/>
        <w:bidi w:val="0"/>
        <w:spacing w:line="360" w:lineRule="auto"/>
        <w:ind w:firstLine="480" w:firstLineChars="200"/>
        <w:textAlignment w:val="auto"/>
        <w:outlineLvl w:val="9"/>
        <w:rPr>
          <w:rFonts w:hint="eastAsia"/>
          <w:highlight w:val="none"/>
        </w:rPr>
      </w:pPr>
      <w:r>
        <w:rPr>
          <w:rFonts w:hint="eastAsia" w:ascii="宋体" w:hAnsi="宋体" w:eastAsia="宋体" w:cs="宋体"/>
          <w:color w:val="auto"/>
          <w:sz w:val="24"/>
          <w:highlight w:val="none"/>
        </w:rPr>
        <w:t>⑤招标代理服务费承诺书</w:t>
      </w:r>
    </w:p>
    <w:p>
      <w:pPr>
        <w:keepNext w:val="0"/>
        <w:keepLines w:val="0"/>
        <w:pageBreakBefore w:val="0"/>
        <w:kinsoku/>
        <w:overflowPunct/>
        <w:autoSpaceDE/>
        <w:autoSpaceDN/>
        <w:bidi w:val="0"/>
        <w:spacing w:line="360" w:lineRule="auto"/>
        <w:ind w:firstLine="482" w:firstLineChars="200"/>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（二）报价部分（单独胶装并密封）</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开标一览表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报价一览表（最终报价表）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 xml:space="preserve"> 投标分项报价表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4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招标文件规定的价格扣除证明材料（若有）</w:t>
      </w:r>
    </w:p>
    <w:p>
      <w:pPr>
        <w:keepNext w:val="0"/>
        <w:keepLines w:val="0"/>
        <w:pageBreakBefore w:val="0"/>
        <w:kinsoku/>
        <w:overflowPunct/>
        <w:autoSpaceDE/>
        <w:autoSpaceDN/>
        <w:bidi w:val="0"/>
        <w:spacing w:line="360" w:lineRule="auto"/>
        <w:ind w:firstLine="482" w:firstLineChars="200"/>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（三）技术商务部分（单独胶装并密封，包括彩页资料）</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①标的说明一览表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②技术参数偏离表和商务偏离表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③质量保证及售后服务承诺书</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4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投标人提交的其他资料（若有）</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68" w:name="_Toc492718056"/>
      <w:bookmarkStart w:id="69" w:name="_Toc402169070"/>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 投标有效期</w:t>
      </w:r>
      <w:bookmarkEnd w:id="68"/>
      <w:bookmarkEnd w:id="69"/>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.1投标文件自</w:t>
      </w:r>
      <w:r>
        <w:rPr>
          <w:rFonts w:hint="eastAsia" w:ascii="宋体" w:hAnsi="宋体" w:eastAsia="宋体" w:cs="宋体"/>
          <w:bCs/>
          <w:color w:val="auto"/>
          <w:sz w:val="24"/>
          <w:highlight w:val="none"/>
        </w:rPr>
        <w:t>投标人须知前附表</w:t>
      </w:r>
      <w:r>
        <w:rPr>
          <w:rFonts w:hint="eastAsia" w:ascii="宋体" w:hAnsi="宋体" w:eastAsia="宋体" w:cs="宋体"/>
          <w:color w:val="auto"/>
          <w:sz w:val="24"/>
          <w:highlight w:val="none"/>
        </w:rPr>
        <w:t>第4项规定的投标截止日之后开始生效，在</w:t>
      </w:r>
      <w:r>
        <w:rPr>
          <w:rFonts w:hint="eastAsia" w:ascii="宋体" w:hAnsi="宋体" w:eastAsia="宋体" w:cs="宋体"/>
          <w:bCs/>
          <w:color w:val="auto"/>
          <w:sz w:val="24"/>
          <w:highlight w:val="none"/>
        </w:rPr>
        <w:t>投标人须知前附表</w:t>
      </w:r>
      <w:r>
        <w:rPr>
          <w:rFonts w:hint="eastAsia" w:ascii="宋体" w:hAnsi="宋体" w:eastAsia="宋体" w:cs="宋体"/>
          <w:color w:val="auto"/>
          <w:sz w:val="24"/>
          <w:highlight w:val="none"/>
        </w:rPr>
        <w:t>第3项规定的期限内保持有效。有效期不足将导致其投标文件被废标。</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2特殊情况下招标代理机构可于投标有效期满之前书面要求投标人同意延长有效期，投标人应在招标代理机构要求的期限内以书面形式予以答复。投标人可以拒绝上述要求而其投标保证金可按规定予以退还。投标人答复不明确或者逾期未答复的，均视为拒绝上述要求。对于接受该要求的投标人，既不能要求也不允许修改其投标文件，但将被要求其相应延长投标保证金有效期，有关退还和不予退还投标保证金的规定在投标有效期延长期内继续有效。</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70" w:name="_Toc402169071"/>
      <w:bookmarkStart w:id="71" w:name="_Toc492718057"/>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 投标保证金</w:t>
      </w:r>
      <w:bookmarkEnd w:id="70"/>
      <w:bookmarkEnd w:id="71"/>
    </w:p>
    <w:p>
      <w:pPr>
        <w:keepNext w:val="0"/>
        <w:keepLines w:val="0"/>
        <w:pageBreakBefore w:val="0"/>
        <w:kinsoku/>
        <w:overflowPunct/>
        <w:autoSpaceDE/>
        <w:autoSpaceDN/>
        <w:bidi w:val="0"/>
        <w:spacing w:line="360" w:lineRule="auto"/>
        <w:ind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.1 投标保证金为投标文件的组成部分之一。</w:t>
      </w:r>
    </w:p>
    <w:p>
      <w:pPr>
        <w:keepNext w:val="0"/>
        <w:keepLines w:val="0"/>
        <w:pageBreakBefore w:val="0"/>
        <w:kinsoku/>
        <w:overflowPunct/>
        <w:autoSpaceDE/>
        <w:autoSpaceDN/>
        <w:bidi w:val="0"/>
        <w:spacing w:line="360" w:lineRule="auto"/>
        <w:ind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.2 投标人应在提交投标文件之前向招标代理机构缴交投标人须知前附表第</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项要求的投标保证金。</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.3 投标保证金用于保护本次招标活动免受投标人的行为而引起的风险。</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4招标代理机构自中标通知书发出之日起5个工作日内退还未中标人的投标保证金，并将落标书面通知没有中标的其它投标人，投标人因自身原因耽搁领取《落标通知书》，造成投标保证金的退还时间超过5个工作日的，招标代理机构不承担延后退还的责任。</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.5招标代理机构自采购合同签订之日起5个工作日内退还中标人的投标保证金。投标人因自身原因耽搁采购合同的送达存档，造成投标保证金的退还时间超过5个工作日的，招标代理机构不承担延后退还的责任。</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.6发生以下情况之一的，投标保证金将不予退还：</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 投标人在投标截止期后，投标有效期内撤回投标；</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 中标人未能做到按本须知第2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条规定签订合同；</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 以他人名义投标或者以其他方式弄虚作假，骗取中标；</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 本招标文件中规定的其他没收投标保证金的情形。</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上述不予退还投标保证金的情况如给</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造成损失的，超过投标保证金数额，还应当对超过部分予以赔偿。</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72" w:name="_Toc458015620"/>
      <w:bookmarkStart w:id="73" w:name="_Toc492718058"/>
      <w:r>
        <w:rPr>
          <w:rFonts w:hint="eastAsia" w:ascii="宋体" w:hAnsi="宋体" w:eastAsia="宋体" w:cs="宋体"/>
          <w:color w:val="auto"/>
          <w:sz w:val="24"/>
          <w:highlight w:val="none"/>
          <w:lang w:val="en-US" w:eastAsia="zh-CN"/>
        </w:rPr>
        <w:t>14</w:t>
      </w:r>
      <w:r>
        <w:rPr>
          <w:rFonts w:hint="eastAsia" w:ascii="宋体" w:hAnsi="宋体" w:eastAsia="宋体" w:cs="宋体"/>
          <w:color w:val="auto"/>
          <w:sz w:val="24"/>
          <w:highlight w:val="none"/>
        </w:rPr>
        <w:t>. 投标文件的格式</w:t>
      </w:r>
      <w:bookmarkEnd w:id="72"/>
      <w:bookmarkEnd w:id="73"/>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.1在投标人须知前附表第1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项号所规定的要求。</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.2投标文件应由投标人的法定代表人或者其授权的代表签字并加盖公章，如由后者签字，应提供“法定代表人授权委托书”。</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.3 除非有另外的规定或许可，投标货币为人民币。</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.4投标人应提交证明其提供材料符合招标文件要求的技术响应文件，该文件可以是文字资料、图纸和数据，并须提供货物主要技术性能的详细描述。</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.5 投标文件的正本和全部副本均应使用不能擦去的墨料或墨水打印、书写或复印，并由法定代表人或其授权的代表签署，盖投标人公章。</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.6 全套投标文件应无涂改和行间插字，除非这些改动是根据招标代理机构的指示进行的，或者是为改正投标人造成的必须修改的错误而进行的。有改动时，修改处应由授权的代表签署证明或加盖校正章。</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.7 未按本须知规定的格式填写投标文件、投标文件字迹模糊不清的，其投标无效。</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b/>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.8 投标文件中所有的资格条件证明文件均须在有效期内，复印件须注明“与原件一致”，并加盖投标人公章。否则投标文件在符合性检查中将被视为无效投标。</w:t>
      </w:r>
    </w:p>
    <w:p>
      <w:pPr>
        <w:keepNext w:val="0"/>
        <w:keepLines w:val="0"/>
        <w:pageBreakBefore w:val="0"/>
        <w:kinsoku/>
        <w:overflowPunct/>
        <w:autoSpaceDE/>
        <w:autoSpaceDN/>
        <w:bidi w:val="0"/>
        <w:spacing w:line="360" w:lineRule="auto"/>
        <w:jc w:val="center"/>
        <w:textAlignment w:val="auto"/>
        <w:outlineLvl w:val="1"/>
        <w:rPr>
          <w:rFonts w:hint="eastAsia" w:ascii="宋体" w:hAnsi="宋体" w:eastAsia="宋体" w:cs="宋体"/>
          <w:b/>
          <w:color w:val="auto"/>
          <w:sz w:val="24"/>
          <w:highlight w:val="none"/>
        </w:rPr>
      </w:pPr>
      <w:bookmarkStart w:id="74" w:name="_Toc458015621"/>
      <w:bookmarkStart w:id="75" w:name="_Toc492718059"/>
      <w:bookmarkStart w:id="76" w:name="_Toc31046"/>
      <w:r>
        <w:rPr>
          <w:rFonts w:hint="eastAsia" w:ascii="宋体" w:hAnsi="宋体" w:eastAsia="宋体" w:cs="宋体"/>
          <w:b/>
          <w:color w:val="auto"/>
          <w:sz w:val="24"/>
          <w:highlight w:val="none"/>
        </w:rPr>
        <w:t>四、投标文件的提交</w:t>
      </w:r>
      <w:bookmarkEnd w:id="74"/>
      <w:bookmarkEnd w:id="75"/>
      <w:bookmarkEnd w:id="76"/>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77" w:name="_Toc492718060"/>
      <w:bookmarkStart w:id="78" w:name="_Toc458015622"/>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.投标文件的密封、标记和递交</w:t>
      </w:r>
      <w:bookmarkEnd w:id="77"/>
      <w:bookmarkEnd w:id="78"/>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.1投标人应将资格及资信证明部分正本、资格及资信证明部分副本、报价部分正本、报价部分副本、技术商务部分正本、技术商务部分副本（资格及资信证明部分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技术商务部分中不得出现与报价有关的内容）、电子文件分开装袋密封，并标明招标编号、投标人名称、项目名称及“正本”或“副本”字样。投标文件未密封将导致投标被拒绝。</w:t>
      </w:r>
    </w:p>
    <w:p>
      <w:pPr>
        <w:keepNext w:val="0"/>
        <w:keepLines w:val="0"/>
        <w:pageBreakBefore w:val="0"/>
        <w:kinsoku/>
        <w:overflowPunct/>
        <w:autoSpaceDE/>
        <w:autoSpaceDN/>
        <w:bidi w:val="0"/>
        <w:spacing w:line="360" w:lineRule="auto"/>
        <w:ind w:firstLine="470" w:firstLineChars="196"/>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.2 每一信封密封处应注明“于</w:t>
      </w:r>
      <w:r>
        <w:rPr>
          <w:rFonts w:hint="eastAsia" w:ascii="宋体" w:hAnsi="宋体" w:cs="宋体"/>
          <w:color w:val="auto"/>
          <w:sz w:val="24"/>
          <w:highlight w:val="none"/>
          <w:lang w:val="en-US" w:eastAsia="zh-CN"/>
        </w:rPr>
        <w:t>2020</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06</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15：00</w:t>
      </w:r>
      <w:r>
        <w:rPr>
          <w:rFonts w:hint="eastAsia" w:ascii="宋体" w:hAnsi="宋体" w:eastAsia="宋体" w:cs="宋体"/>
          <w:color w:val="auto"/>
          <w:sz w:val="24"/>
          <w:highlight w:val="none"/>
        </w:rPr>
        <w:t>之前(指投标邀请中规定的开标日期及时间)不准启封”的字样，并加盖投标人公章。</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.3如果未按上述规定进行密封和标记，投标人自行承担由此造成的对投标文件的误投或提前拆封的责任。</w:t>
      </w:r>
    </w:p>
    <w:p>
      <w:pPr>
        <w:keepNext w:val="0"/>
        <w:keepLines w:val="0"/>
        <w:pageBreakBefore w:val="0"/>
        <w:kinsoku/>
        <w:overflowPunct/>
        <w:autoSpaceDE/>
        <w:autoSpaceDN/>
        <w:bidi w:val="0"/>
        <w:spacing w:line="360" w:lineRule="auto"/>
        <w:ind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.4 投标文件应在招标公告中规定的截止时间前送达，截止时间之后送达的投标文件为无效投标文件，将被拒收。</w:t>
      </w:r>
    </w:p>
    <w:p>
      <w:pPr>
        <w:keepNext w:val="0"/>
        <w:keepLines w:val="0"/>
        <w:pageBreakBefore w:val="0"/>
        <w:tabs>
          <w:tab w:val="left" w:pos="540"/>
        </w:tabs>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.5投标人在投标截止时间前，可以对所提交的投标文件进行修改或者撤回，并书面通知招标代理机构。修改的内容和撤回通知应当按本须知要求签署、盖章、密封，并作为投标文件的组成部分。</w:t>
      </w:r>
    </w:p>
    <w:p>
      <w:pPr>
        <w:keepNext w:val="0"/>
        <w:keepLines w:val="0"/>
        <w:pageBreakBefore w:val="0"/>
        <w:tabs>
          <w:tab w:val="left" w:pos="540"/>
        </w:tabs>
        <w:kinsoku/>
        <w:overflowPunct/>
        <w:autoSpaceDE/>
        <w:autoSpaceDN/>
        <w:bidi w:val="0"/>
        <w:snapToGrid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.6投标人在投标截止后不得修改、撤回投标文件。投标人在投标截止期后修改投标文件的，其投标无效，投标保证金不予退还，给</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造成的损失超过投标保证金数额的，还应当对超过部分予以赔偿。</w:t>
      </w:r>
    </w:p>
    <w:p>
      <w:pPr>
        <w:keepNext w:val="0"/>
        <w:keepLines w:val="0"/>
        <w:pageBreakBefore w:val="0"/>
        <w:kinsoku/>
        <w:overflowPunct/>
        <w:autoSpaceDE/>
        <w:autoSpaceDN/>
        <w:bidi w:val="0"/>
        <w:spacing w:line="360" w:lineRule="auto"/>
        <w:jc w:val="center"/>
        <w:textAlignment w:val="auto"/>
        <w:outlineLvl w:val="1"/>
        <w:rPr>
          <w:rFonts w:hint="eastAsia" w:ascii="宋体" w:hAnsi="宋体" w:eastAsia="宋体" w:cs="宋体"/>
          <w:b/>
          <w:color w:val="auto"/>
          <w:sz w:val="24"/>
          <w:highlight w:val="none"/>
        </w:rPr>
      </w:pPr>
      <w:bookmarkStart w:id="79" w:name="_Toc492718061"/>
      <w:bookmarkStart w:id="80" w:name="_Toc26562"/>
      <w:bookmarkStart w:id="81" w:name="_Toc458015623"/>
      <w:r>
        <w:rPr>
          <w:rFonts w:hint="eastAsia" w:ascii="宋体" w:hAnsi="宋体" w:eastAsia="宋体" w:cs="宋体"/>
          <w:b/>
          <w:color w:val="auto"/>
          <w:sz w:val="24"/>
          <w:highlight w:val="none"/>
        </w:rPr>
        <w:t>五、投标文件的评估和比较</w:t>
      </w:r>
      <w:bookmarkEnd w:id="79"/>
      <w:bookmarkEnd w:id="80"/>
      <w:bookmarkEnd w:id="81"/>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82" w:name="_Toc492718062"/>
      <w:bookmarkStart w:id="83" w:name="_Toc458015624"/>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 开标、评标时间</w:t>
      </w:r>
      <w:bookmarkEnd w:id="82"/>
      <w:bookmarkEnd w:id="83"/>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.1 在投标人须知前附表中第4项号规定的时间、地点开标。</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.2开标由招标代理机构主持，</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、投标人代表参加。所有投标人应派授权代表参加开标会，并签到。投标人未参加开标的，视同认可开标结果。</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.3开标时，由投标人或者其推选的代表检查投标文件的密封情况；经确认无误后，由工作人员当众拆封，宣读投标人名称、投标价格。</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.4开标过程由招标代理机构负责记录，由参加开标的各投标人代表、现场监督人员和相关工作人员签字确认。投标人对开标有异议的，应当在开标现场提出，招标采购单位将当场作出答复，并制作记录。</w:t>
      </w:r>
    </w:p>
    <w:p>
      <w:pPr>
        <w:keepNext w:val="0"/>
        <w:keepLines w:val="0"/>
        <w:pageBreakBefore w:val="0"/>
        <w:tabs>
          <w:tab w:val="left" w:pos="3330"/>
        </w:tabs>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84" w:name="_Toc492718063"/>
      <w:bookmarkStart w:id="85" w:name="_Toc458015625"/>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．评标委员会</w:t>
      </w:r>
      <w:bookmarkEnd w:id="84"/>
      <w:bookmarkEnd w:id="85"/>
    </w:p>
    <w:p>
      <w:pPr>
        <w:keepNext w:val="0"/>
        <w:keepLines w:val="0"/>
        <w:pageBreakBefore w:val="0"/>
        <w:kinsoku/>
        <w:overflowPunct/>
        <w:autoSpaceDE/>
        <w:autoSpaceDN/>
        <w:bidi w:val="0"/>
        <w:spacing w:line="360" w:lineRule="auto"/>
        <w:ind w:firstLine="240" w:firstLineChars="1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.1招标代理机构根据招标</w:t>
      </w: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rPr>
        <w:t>的特点依法组建评标委员会。评标委员会由技术、经济、法律方面的专家和</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代表组成。成员为5人以上单数组成，专家不能少于三分之二。由评标委员会对投标文件进行审查、质疑、评估和比较，并做出授予合同的建议。</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.2 评标委员会成员有下列情形之一的，应当回避：</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bookmarkStart w:id="86" w:name="_Toc233627390"/>
      <w:r>
        <w:rPr>
          <w:rFonts w:hint="eastAsia" w:ascii="宋体" w:hAnsi="宋体" w:eastAsia="宋体" w:cs="宋体"/>
          <w:color w:val="auto"/>
          <w:sz w:val="24"/>
          <w:highlight w:val="none"/>
        </w:rPr>
        <w:t>(1) 现在或者在采购活动发生前三年内，与</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存在雇佣关系；</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 现在或者在采购活动发生前三年内担任</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的财务顾问、法律顾问或技术顾问；</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 现在或者在采购活动发生前三年内是</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的控股股东或者实际控制人；</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 与</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的法定代表人或者负责人是直系血亲、三代以内旁系血亲及姻亲关系；</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 与</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之间存在其他影响或可能影响采购活动依法进行的利害关系。</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.3 评标原则</w:t>
      </w:r>
      <w:bookmarkEnd w:id="86"/>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评标活动按照客观、公正、审慎的原则。</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87" w:name="_Toc492718064"/>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 投标文件的初审</w:t>
      </w:r>
      <w:bookmarkEnd w:id="87"/>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对所有投标人的评估，都采用相同的程序和标准。评议过程将严格按照招标文件的要求和条件进行。</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有关投标文件的审查、澄清、评估和比较以及推荐中标候选</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的一切情况都不得透露给任一投标人或与上述评标工作无关的人员。</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投标人任何试图影响评标委员会对投标文件的评估、比较或者推荐候选人的行为，都将导致其投标被拒绝，并被没收投标保证金。</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 xml:space="preserve">.1评标委员会将对投标文件进行检查，以确定投标文件是否完整、有无计算上的错误、是否提交了投标保证金、文件是否已正确签署。 </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.2 算术错误将按以下方法更正：</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(1)投标文件中开标一览表内容与投标文件中明细表内容不一致的，以开标一览表为准。</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如果投标人不接受按上述方法对投标文件中的算术错误进行更正，其投标将被拒绝并没收其投标保证金。</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 xml:space="preserve">.3资格性检查和符合性检查 </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.3.1资格性检查。资格审查小组由3人组成，并负责具体审查事务，其中：由采购人派出的采购人代表至少</w:t>
      </w:r>
      <w:r>
        <w:rPr>
          <w:rFonts w:hint="eastAsia" w:ascii="宋体" w:hAnsi="宋体" w:eastAsia="宋体" w:cs="宋体"/>
          <w:color w:val="auto"/>
          <w:sz w:val="24"/>
          <w:highlight w:val="none"/>
          <w:u w:val="single"/>
        </w:rPr>
        <w:t>1</w:t>
      </w:r>
      <w:r>
        <w:rPr>
          <w:rFonts w:hint="eastAsia" w:ascii="宋体" w:hAnsi="宋体" w:eastAsia="宋体" w:cs="宋体"/>
          <w:color w:val="auto"/>
          <w:sz w:val="24"/>
          <w:highlight w:val="none"/>
        </w:rPr>
        <w:t>人，由福建省天海招标有限公司派出的工作人员至少1人，其余1人可为采购人代表或福建省天海招标有限公司的工作人员。依据法律法规和招标文件的规定，在对投标文件详细评估之前，资格审查小组将依据投标人提交的投标文件按投标人须知前附表第2项所述的资格标准对投标人进行资格审查, 以确定其是否具备投标资格。如果投标人不具备投标资格，不满足招标文件所规定的资格标准或提供资格证明文件不全的, 其投标将被拒绝。</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3.2符合性检查。依据招标文件的规定，还将从投标文件的有效性、完整性和对招标文件的响应程度进行审查，以确定是否符合对招标文件的实质性要求做出响应。实质性偏离是指：(1)实质性影响合同的范围、质量和履行；(2)实质性违背招标文件，限制了</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的权利和中标人合同项下的义务；(3)不公正地影响了其它做出实质性响应的投标人的竞争地位。对没有实质性响应的投标文件将不进行评估，其投标将被拒绝。凡有下列情况之一者，投标文件也将被视为未实质性响应招标文件要求，按照无效投标处理：</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 投标有效期或投标保证金有效期不满足招标文件要求的；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 投标文件组成不符合招标文件要求的；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 未按规定提交封面盖公章，并加盖骑缝章或每页盖公章(非报价专用章或业务章)的；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 未按规定提交胶装(为永久性、无破坏不可拆分)装订成册的；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 未按规定提交由投标人加盖公章并注明复印件与原件一致的</w:t>
      </w:r>
      <w:r>
        <w:rPr>
          <w:rFonts w:hint="eastAsia" w:ascii="宋体" w:hAnsi="宋体" w:eastAsia="宋体" w:cs="宋体"/>
          <w:color w:val="auto"/>
          <w:sz w:val="24"/>
          <w:highlight w:val="none"/>
          <w:lang w:eastAsia="zh-CN"/>
        </w:rPr>
        <w:t>证明材料</w:t>
      </w:r>
      <w:r>
        <w:rPr>
          <w:rFonts w:hint="eastAsia" w:ascii="宋体" w:hAnsi="宋体" w:eastAsia="宋体" w:cs="宋体"/>
          <w:color w:val="auto"/>
          <w:sz w:val="24"/>
          <w:highlight w:val="none"/>
        </w:rPr>
        <w:t>复印件；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 内容不全或关键字迹模糊、无法辨认的；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 投标人名称或组织结构与资格性审查时不一致且未提供有效证明的；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 采取分包、转包方式履行合同的；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 投标文件附有</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不能接受的条件；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 不符合招标文件中规定的实质性条款、无效投标条款的。</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对投标文件资格性审查、符合性审查及判定投标的响应性只根据投标文件本身的内容，而不寻求其他的外部证据。</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使用通过受让或者租借等方式获取的资格、资质证书投标的，属于招标投标法第三十三条规定的以他人名义投标。投标人有下列情形之一的，属于招标投标法第三十三条规定的以其他方式弄虚作假的行为：</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(1)使用伪造、变造的许可证件；</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(2)提供虚假的财务状况或者业绩；</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(3)提供虚假的项目负责人或者主要技术人员简历、劳动关系证明；</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(4)提供虚假的信用状况；</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(5)其他弄虚作假的行为。</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88" w:name="_Toc492718065"/>
      <w:bookmarkStart w:id="89" w:name="_Toc458015627"/>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 投标文件的澄清</w:t>
      </w:r>
      <w:bookmarkEnd w:id="88"/>
      <w:bookmarkEnd w:id="89"/>
      <w:r>
        <w:rPr>
          <w:rFonts w:hint="eastAsia" w:ascii="宋体" w:hAnsi="宋体" w:eastAsia="宋体" w:cs="宋体"/>
          <w:color w:val="auto"/>
          <w:sz w:val="24"/>
          <w:highlight w:val="none"/>
        </w:rPr>
        <w:t xml:space="preserve"> </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1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.2评标委员会不得暗示或者诱导投标人作出澄清、说明，不得接受投标人主动提出的澄清、说明。</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90" w:name="_Toc458015628"/>
      <w:bookmarkStart w:id="91" w:name="_Toc492718066"/>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 比较与评价</w:t>
      </w:r>
      <w:bookmarkEnd w:id="90"/>
      <w:bookmarkEnd w:id="91"/>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.1评标委员会将按投标人须知前附表第</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项号所述评标方法与标准，对资格性检查和符合性检查合格的投标文件进行商务和技术评估，综合比较与评价。</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.2 对漏(缺)报项的处理：招标文件中要求列入投标的费用(含配置、功能)，漏(缺)报的视同已含在投标总价中。但在评标时取有效投标人该项最高投标加入评标价进行评标。对多报项及赠送项的价格评标时不予核减，全部进入评标价评议。</w:t>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.3 若投标人的报价明显低于其他报价，使得其投标报价可能低于其个别成本的，有可能影响商品质量或不能诚信履约的，投标人应按评标委员会要求做出书面说明并提供相关证明材料，不能合理说明或不能提供相关证明材料的，可作无效投标处理。</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.4评标委员会将按比较与评价最优在先原则，排列评价顺序，根据在投标人须知前附表中第</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项号规定推荐中标候选人。</w:t>
      </w:r>
    </w:p>
    <w:p>
      <w:pPr>
        <w:keepNext w:val="0"/>
        <w:keepLines w:val="0"/>
        <w:pageBreakBefore w:val="0"/>
        <w:kinsoku/>
        <w:overflowPunct/>
        <w:autoSpaceDE/>
        <w:autoSpaceDN/>
        <w:bidi w:val="0"/>
        <w:spacing w:line="360" w:lineRule="auto"/>
        <w:jc w:val="center"/>
        <w:textAlignment w:val="auto"/>
        <w:outlineLvl w:val="1"/>
        <w:rPr>
          <w:rFonts w:hint="eastAsia" w:ascii="宋体" w:hAnsi="宋体" w:eastAsia="宋体" w:cs="宋体"/>
          <w:b/>
          <w:color w:val="auto"/>
          <w:sz w:val="24"/>
          <w:highlight w:val="none"/>
        </w:rPr>
      </w:pPr>
      <w:bookmarkStart w:id="92" w:name="_Toc11537"/>
      <w:bookmarkStart w:id="93" w:name="_Toc458015629"/>
      <w:bookmarkStart w:id="94" w:name="_Toc454798226"/>
      <w:bookmarkStart w:id="95" w:name="_Toc492718067"/>
      <w:r>
        <w:rPr>
          <w:rFonts w:hint="eastAsia" w:ascii="宋体" w:hAnsi="宋体" w:eastAsia="宋体" w:cs="宋体"/>
          <w:b/>
          <w:color w:val="auto"/>
          <w:sz w:val="24"/>
          <w:highlight w:val="none"/>
        </w:rPr>
        <w:t>六、定标与签订合同</w:t>
      </w:r>
      <w:bookmarkEnd w:id="92"/>
      <w:bookmarkEnd w:id="93"/>
      <w:bookmarkEnd w:id="94"/>
      <w:bookmarkEnd w:id="95"/>
    </w:p>
    <w:p>
      <w:pPr>
        <w:keepNext w:val="0"/>
        <w:keepLines w:val="0"/>
        <w:pageBreakBefore w:val="0"/>
        <w:tabs>
          <w:tab w:val="left" w:pos="3402"/>
        </w:tabs>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96" w:name="_Toc458015630"/>
      <w:bookmarkStart w:id="97" w:name="_Toc492718068"/>
      <w:bookmarkStart w:id="98" w:name="_Toc454798227"/>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 定标准则</w:t>
      </w:r>
      <w:bookmarkEnd w:id="96"/>
      <w:bookmarkEnd w:id="97"/>
      <w:bookmarkEnd w:id="98"/>
    </w:p>
    <w:p>
      <w:pPr>
        <w:keepNext w:val="0"/>
        <w:keepLines w:val="0"/>
        <w:pageBreakBefore w:val="0"/>
        <w:tabs>
          <w:tab w:val="left" w:pos="3402"/>
        </w:tabs>
        <w:kinsoku/>
        <w:overflowPunct/>
        <w:autoSpaceDE/>
        <w:autoSpaceDN/>
        <w:bidi w:val="0"/>
        <w:spacing w:line="360" w:lineRule="auto"/>
        <w:ind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.1 最低投标价不作为中标的保证。</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2投标人的投标文件符合招标文件要求，按招标文件确定评标方法、评标标准，经评委评审并推荐中标候选人。评标委员会成员应当按照招标文件规定的评标标准和方法，客观、公正地对投标文件提出评审意见。招标文件没有规定的评标标准和方法不得作为评标的依据。</w:t>
      </w:r>
    </w:p>
    <w:p>
      <w:pPr>
        <w:keepNext w:val="0"/>
        <w:keepLines w:val="0"/>
        <w:pageBreakBefore w:val="0"/>
        <w:tabs>
          <w:tab w:val="left" w:pos="3402"/>
        </w:tabs>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99" w:name="_Toc492718069"/>
      <w:bookmarkStart w:id="100" w:name="_Toc454798228"/>
      <w:bookmarkStart w:id="101" w:name="_Toc458015631"/>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 中标通知</w:t>
      </w:r>
      <w:bookmarkEnd w:id="99"/>
      <w:bookmarkEnd w:id="100"/>
      <w:bookmarkEnd w:id="101"/>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.1评标结束后，评标结果经</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确认后，招标代理机构将在刊登本招标项目招标公告的媒介上对中标结果进行公示，公示期满后招标代理机构向中标人发出中标通知书。中标通知书对</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和中标人具有同等法律效力。中标通知书发出后，</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改变中标结果，或者中标人放弃中标，应按相关法律、规章、规范性文件的要求承担相应的法律责任。</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.2《中标通知书》发出同时招标代理机构将落标书面通知没有中标的其它投标人。</w:t>
      </w:r>
    </w:p>
    <w:p>
      <w:pPr>
        <w:keepNext w:val="0"/>
        <w:keepLines w:val="0"/>
        <w:pageBreakBefore w:val="0"/>
        <w:tabs>
          <w:tab w:val="left" w:pos="3402"/>
        </w:tabs>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.3《中标通知书》将作为签订合同的依据。《合同》签订后，《中标通知书》成为《合同》的一部分。</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.4招标代理机构</w:t>
      </w:r>
      <w:r>
        <w:rPr>
          <w:rFonts w:hint="eastAsia" w:ascii="宋体" w:hAnsi="宋体" w:eastAsia="宋体" w:cs="宋体"/>
          <w:color w:val="auto"/>
          <w:kern w:val="0"/>
          <w:sz w:val="24"/>
          <w:highlight w:val="none"/>
        </w:rPr>
        <w:t>自《中标通知书》发出之日起</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个工作日内退还未中标人的投标</w:t>
      </w:r>
      <w:r>
        <w:rPr>
          <w:rFonts w:hint="eastAsia" w:ascii="宋体" w:hAnsi="宋体" w:eastAsia="宋体" w:cs="宋体"/>
          <w:color w:val="auto"/>
          <w:sz w:val="24"/>
          <w:highlight w:val="none"/>
        </w:rPr>
        <w:t>保证金。未中标的</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需领取并回传《落标通知书》。</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.5自采购合同签订之日起</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个工作日内退还中标人的投标保证金。中标人需将采购合同送达存档。</w:t>
      </w:r>
    </w:p>
    <w:p>
      <w:pPr>
        <w:keepNext w:val="0"/>
        <w:keepLines w:val="0"/>
        <w:pageBreakBefore w:val="0"/>
        <w:tabs>
          <w:tab w:val="left" w:pos="3402"/>
        </w:tabs>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102" w:name="_Toc454798229"/>
      <w:bookmarkStart w:id="103" w:name="_Toc492718070"/>
      <w:bookmarkStart w:id="104" w:name="_Toc458015632"/>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 签订合同</w:t>
      </w:r>
      <w:bookmarkEnd w:id="102"/>
      <w:bookmarkEnd w:id="103"/>
      <w:bookmarkEnd w:id="104"/>
    </w:p>
    <w:p>
      <w:pPr>
        <w:keepNext w:val="0"/>
        <w:keepLines w:val="0"/>
        <w:pageBreakBefore w:val="0"/>
        <w:tabs>
          <w:tab w:val="left" w:pos="3402"/>
        </w:tabs>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.1</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中标人在《中标通知书》发出之日起30日内，根据招标文件确定的事项和中标人投标文件，参照本招标文件第四章的《合同》文本签订合同。双方所签订的合同不得对招标文件和中标人投标文件作实质性修改。逾期未签订合同，按照有关法律规定承担相应的法律责任。</w:t>
      </w:r>
    </w:p>
    <w:p>
      <w:pPr>
        <w:keepNext w:val="0"/>
        <w:keepLines w:val="0"/>
        <w:pageBreakBefore w:val="0"/>
        <w:tabs>
          <w:tab w:val="left" w:pos="3402"/>
        </w:tabs>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2招标文件、招标文件的修改文件、中标人的投标文件、补充或修改的文件及澄清或承诺文件等，均为双方签订《合同》的组成部分，并与《合同》一并作为本招标文件所列采购项目的互补性法律文件，与《合同》具有同等法律效力。</w:t>
      </w:r>
    </w:p>
    <w:p>
      <w:pPr>
        <w:keepNext w:val="0"/>
        <w:keepLines w:val="0"/>
        <w:pageBreakBefore w:val="0"/>
        <w:tabs>
          <w:tab w:val="left" w:pos="3402"/>
        </w:tabs>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.3</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在合同履行中，需追加与合同标的相同的货物或者服务的，在不改变合同其他条款的前提下，可与</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协商签订补充合同，但所有补充合同的采购金额不得超过原合同采购金额的百分之十。</w:t>
      </w:r>
    </w:p>
    <w:p>
      <w:pPr>
        <w:keepNext w:val="0"/>
        <w:keepLines w:val="0"/>
        <w:pageBreakBefore w:val="0"/>
        <w:numPr>
          <w:ilvl w:val="0"/>
          <w:numId w:val="0"/>
        </w:numPr>
        <w:tabs>
          <w:tab w:val="left" w:pos="993"/>
        </w:tabs>
        <w:kinsoku/>
        <w:overflowPunct/>
        <w:autoSpaceDE/>
        <w:autoSpaceDN/>
        <w:bidi w:val="0"/>
        <w:spacing w:line="360" w:lineRule="auto"/>
        <w:ind w:left="0" w:lef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.4</w:t>
      </w:r>
      <w:r>
        <w:rPr>
          <w:rFonts w:hint="eastAsia" w:ascii="宋体" w:hAnsi="宋体" w:eastAsia="宋体" w:cs="宋体"/>
          <w:color w:val="auto"/>
          <w:kern w:val="0"/>
          <w:sz w:val="24"/>
          <w:highlight w:val="none"/>
        </w:rPr>
        <w:t>排名第一的中标候选人放弃中标、因不可抗力不能履行合同、不按照招标文件要求提交履约保证金，或者被查实存在影响中标结果的违法行为等情形，不符合中标条件的，</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可以按照评标委员会提出的中标候选人名单排序依次确定其他中标候选人为中标人，也可以重新招标。</w:t>
      </w:r>
    </w:p>
    <w:p>
      <w:pPr>
        <w:keepNext w:val="0"/>
        <w:keepLines w:val="0"/>
        <w:pageBreakBefore w:val="0"/>
        <w:tabs>
          <w:tab w:val="left" w:pos="3402"/>
        </w:tabs>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105" w:name="_Toc454798230"/>
      <w:bookmarkStart w:id="106" w:name="_Toc458015633"/>
      <w:bookmarkStart w:id="107" w:name="_Toc492718071"/>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招标项目监督部门</w:t>
      </w:r>
      <w:bookmarkEnd w:id="105"/>
      <w:bookmarkEnd w:id="106"/>
      <w:bookmarkEnd w:id="107"/>
    </w:p>
    <w:p>
      <w:pPr>
        <w:keepNext w:val="0"/>
        <w:keepLines w:val="0"/>
        <w:pageBreakBefore w:val="0"/>
        <w:tabs>
          <w:tab w:val="left" w:pos="3402"/>
        </w:tabs>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.1招标项目监督部门可视情依法派员对本招标活动的全程进行监督。</w:t>
      </w:r>
    </w:p>
    <w:p>
      <w:pPr>
        <w:keepNext w:val="0"/>
        <w:keepLines w:val="0"/>
        <w:pageBreakBefore w:val="0"/>
        <w:tabs>
          <w:tab w:val="left" w:pos="3402"/>
        </w:tabs>
        <w:kinsoku/>
        <w:overflowPunct/>
        <w:autoSpaceDE/>
        <w:autoSpaceDN/>
        <w:bidi w:val="0"/>
        <w:spacing w:line="360" w:lineRule="auto"/>
        <w:ind w:firstLine="480" w:firstLineChars="200"/>
        <w:textAlignment w:val="auto"/>
        <w:outlineLvl w:val="9"/>
        <w:rPr>
          <w:rFonts w:hint="eastAsia" w:ascii="宋体" w:hAnsi="宋体" w:eastAsia="宋体" w:cs="宋体"/>
          <w:b/>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.2投标人如对招标活动有异议，可以按照有关规定向投标须知前附表第</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项所述招标项目监督部门投诉。</w:t>
      </w:r>
    </w:p>
    <w:p>
      <w:pPr>
        <w:keepNext w:val="0"/>
        <w:keepLines w:val="0"/>
        <w:pageBreakBefore w:val="0"/>
        <w:kinsoku/>
        <w:overflowPunct/>
        <w:autoSpaceDE/>
        <w:autoSpaceDN/>
        <w:bidi w:val="0"/>
        <w:spacing w:line="360" w:lineRule="auto"/>
        <w:ind w:firstLine="482" w:firstLineChars="200"/>
        <w:jc w:val="center"/>
        <w:textAlignment w:val="auto"/>
        <w:outlineLvl w:val="1"/>
        <w:rPr>
          <w:rFonts w:hint="eastAsia" w:ascii="宋体" w:hAnsi="宋体" w:eastAsia="宋体" w:cs="宋体"/>
          <w:b/>
          <w:color w:val="auto"/>
          <w:sz w:val="24"/>
          <w:highlight w:val="none"/>
        </w:rPr>
      </w:pPr>
      <w:bookmarkStart w:id="108" w:name="_Toc458015635"/>
      <w:bookmarkStart w:id="109" w:name="_Toc492718072"/>
      <w:bookmarkStart w:id="110" w:name="_Toc21710"/>
      <w:bookmarkStart w:id="111" w:name="_Toc454798231"/>
      <w:r>
        <w:rPr>
          <w:rFonts w:hint="eastAsia" w:ascii="宋体" w:hAnsi="宋体" w:eastAsia="宋体" w:cs="宋体"/>
          <w:b/>
          <w:color w:val="auto"/>
          <w:sz w:val="24"/>
          <w:highlight w:val="none"/>
        </w:rPr>
        <w:t>七、质疑与答复</w:t>
      </w:r>
      <w:bookmarkEnd w:id="108"/>
      <w:bookmarkEnd w:id="109"/>
      <w:bookmarkEnd w:id="110"/>
      <w:bookmarkEnd w:id="111"/>
    </w:p>
    <w:p>
      <w:pPr>
        <w:keepNext w:val="0"/>
        <w:keepLines w:val="0"/>
        <w:pageBreakBefore w:val="0"/>
        <w:widowControl/>
        <w:kinsoku/>
        <w:overflowPunct/>
        <w:autoSpaceDE/>
        <w:autoSpaceDN/>
        <w:bidi w:val="0"/>
        <w:spacing w:line="360" w:lineRule="auto"/>
        <w:textAlignment w:val="auto"/>
        <w:outlineLvl w:val="9"/>
        <w:rPr>
          <w:rFonts w:hint="eastAsia" w:ascii="宋体" w:hAnsi="宋体" w:eastAsia="宋体" w:cs="宋体"/>
          <w:color w:val="auto"/>
          <w:sz w:val="24"/>
          <w:highlight w:val="none"/>
        </w:rPr>
      </w:pPr>
      <w:bookmarkStart w:id="112" w:name="_Toc454798232"/>
      <w:bookmarkStart w:id="113" w:name="_Toc458015636"/>
      <w:bookmarkStart w:id="114" w:name="_Toc492718073"/>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 质疑</w:t>
      </w:r>
      <w:bookmarkEnd w:id="112"/>
      <w:bookmarkEnd w:id="113"/>
      <w:bookmarkEnd w:id="114"/>
    </w:p>
    <w:p>
      <w:pPr>
        <w:keepNext w:val="0"/>
        <w:keepLines w:val="0"/>
        <w:pageBreakBefore w:val="0"/>
        <w:widowControl/>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潜在投标人或者其他利害关系人对招标文件有异议的，应当</w:t>
      </w:r>
      <w:r>
        <w:rPr>
          <w:rFonts w:hint="eastAsia" w:ascii="宋体" w:hAnsi="宋体" w:eastAsia="宋体" w:cs="宋体"/>
          <w:color w:val="auto"/>
          <w:sz w:val="24"/>
          <w:highlight w:val="none"/>
        </w:rPr>
        <w:t>以书面原件形式</w:t>
      </w:r>
      <w:r>
        <w:rPr>
          <w:rFonts w:hint="eastAsia" w:ascii="宋体" w:hAnsi="宋体" w:eastAsia="宋体" w:cs="宋体"/>
          <w:color w:val="auto"/>
          <w:kern w:val="0"/>
          <w:sz w:val="24"/>
          <w:highlight w:val="none"/>
        </w:rPr>
        <w:t>提出。投标人或者其他利害关系人对评标结果有异议的，应当</w:t>
      </w:r>
      <w:r>
        <w:rPr>
          <w:rFonts w:hint="eastAsia" w:ascii="宋体" w:hAnsi="宋体" w:eastAsia="宋体" w:cs="宋体"/>
          <w:color w:val="auto"/>
          <w:sz w:val="24"/>
          <w:highlight w:val="none"/>
        </w:rPr>
        <w:t>以书面原件形式(拒绝受理书面原件以外的其他形式)</w:t>
      </w:r>
      <w:r>
        <w:rPr>
          <w:rFonts w:hint="eastAsia" w:ascii="宋体" w:hAnsi="宋体" w:eastAsia="宋体" w:cs="宋体"/>
          <w:color w:val="auto"/>
          <w:kern w:val="0"/>
          <w:sz w:val="24"/>
          <w:highlight w:val="none"/>
        </w:rPr>
        <w:t>在中标候选人公示期间提出。</w:t>
      </w:r>
      <w:bookmarkStart w:id="115" w:name="_Toc492718074"/>
      <w:bookmarkStart w:id="116" w:name="_Toc458015637"/>
      <w:bookmarkStart w:id="117" w:name="_Toc454798233"/>
    </w:p>
    <w:p>
      <w:pPr>
        <w:keepNext w:val="0"/>
        <w:keepLines w:val="0"/>
        <w:pageBreakBefore w:val="0"/>
        <w:widowControl/>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 答复</w:t>
      </w:r>
      <w:bookmarkEnd w:id="115"/>
      <w:bookmarkEnd w:id="116"/>
      <w:bookmarkEnd w:id="117"/>
    </w:p>
    <w:p>
      <w:pPr>
        <w:keepNext w:val="0"/>
        <w:keepLines w:val="0"/>
        <w:pageBreakBefore w:val="0"/>
        <w:widowControl/>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.1自收到异议之日起</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eastAsia="zh-CN"/>
        </w:rPr>
        <w:t>个工作日</w:t>
      </w:r>
      <w:r>
        <w:rPr>
          <w:rFonts w:hint="eastAsia" w:ascii="宋体" w:hAnsi="宋体" w:eastAsia="宋体" w:cs="宋体"/>
          <w:color w:val="auto"/>
          <w:sz w:val="24"/>
          <w:highlight w:val="none"/>
        </w:rPr>
        <w:t>内作出答复。投标人也可以向招标代理机构提出质疑，招标代理机构将依照规定就</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委托授权范围内的事项作出答复。</w:t>
      </w:r>
    </w:p>
    <w:p>
      <w:pPr>
        <w:keepNext w:val="0"/>
        <w:keepLines w:val="0"/>
        <w:pageBreakBefore w:val="0"/>
        <w:widowControl/>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.2投标人或者其他利害关系人认为招标投标活动不符合法律、行政法规规定的，可以自知道或者应当知道之日起</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日内向有关行政监督部门投诉。投诉应当有明确的请求和必要的证明材料。</w:t>
      </w:r>
    </w:p>
    <w:p>
      <w:pPr>
        <w:pStyle w:val="38"/>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keepNext w:val="0"/>
        <w:keepLines w:val="0"/>
        <w:pageBreakBefore w:val="0"/>
        <w:numPr>
          <w:ilvl w:val="0"/>
          <w:numId w:val="3"/>
        </w:numPr>
        <w:kinsoku/>
        <w:overflowPunct/>
        <w:autoSpaceDE/>
        <w:autoSpaceDN/>
        <w:bidi w:val="0"/>
        <w:snapToGrid w:val="0"/>
        <w:spacing w:line="360" w:lineRule="auto"/>
        <w:jc w:val="center"/>
        <w:textAlignment w:val="auto"/>
        <w:outlineLvl w:val="0"/>
        <w:rPr>
          <w:rFonts w:hint="eastAsia" w:ascii="宋体" w:hAnsi="宋体" w:eastAsia="宋体" w:cs="宋体"/>
          <w:b/>
          <w:color w:val="auto"/>
          <w:sz w:val="36"/>
          <w:szCs w:val="36"/>
          <w:highlight w:val="none"/>
        </w:rPr>
      </w:pPr>
      <w:bookmarkStart w:id="118" w:name="_Toc14536"/>
      <w:bookmarkStart w:id="119" w:name="_Toc492718075"/>
      <w:r>
        <w:rPr>
          <w:rFonts w:hint="eastAsia" w:ascii="宋体" w:hAnsi="宋体" w:eastAsia="宋体" w:cs="宋体"/>
          <w:b/>
          <w:bCs/>
          <w:color w:val="auto"/>
          <w:sz w:val="36"/>
          <w:szCs w:val="36"/>
          <w:highlight w:val="none"/>
        </w:rPr>
        <w:t>招标内容及要求</w:t>
      </w:r>
      <w:bookmarkEnd w:id="118"/>
      <w:bookmarkEnd w:id="119"/>
    </w:p>
    <w:p>
      <w:pPr>
        <w:pStyle w:val="36"/>
        <w:keepNext w:val="0"/>
        <w:keepLines w:val="0"/>
        <w:pageBreakBefore w:val="0"/>
        <w:widowControl/>
        <w:numPr>
          <w:ilvl w:val="0"/>
          <w:numId w:val="4"/>
        </w:numPr>
        <w:suppressLineNumbers w:val="0"/>
        <w:kinsoku/>
        <w:overflowPunct/>
        <w:topLinePunct w:val="0"/>
        <w:autoSpaceDE/>
        <w:autoSpaceDN/>
        <w:bidi w:val="0"/>
        <w:adjustRightInd/>
        <w:snapToGrid/>
        <w:spacing w:before="0" w:beforeLines="0" w:beforeAutospacing="0" w:after="0" w:afterLines="0" w:afterAutospacing="0" w:line="360" w:lineRule="auto"/>
        <w:ind w:left="0" w:right="0" w:firstLine="0"/>
        <w:textAlignment w:val="auto"/>
        <w:outlineLvl w:val="1"/>
        <w:rPr>
          <w:rFonts w:hint="eastAsia" w:ascii="宋体" w:hAnsi="宋体" w:eastAsia="宋体" w:cs="宋体"/>
          <w:b/>
          <w:bCs/>
          <w:color w:val="auto"/>
          <w:spacing w:val="0"/>
          <w:sz w:val="24"/>
          <w:szCs w:val="24"/>
          <w:highlight w:val="none"/>
        </w:rPr>
      </w:pPr>
      <w:bookmarkStart w:id="120" w:name="_Toc29882"/>
      <w:bookmarkStart w:id="121" w:name="_Toc346300364"/>
      <w:bookmarkStart w:id="122" w:name="_Toc351968242"/>
      <w:bookmarkStart w:id="123" w:name="_Toc464492985"/>
      <w:bookmarkStart w:id="124" w:name="_Toc471817418"/>
      <w:bookmarkStart w:id="125" w:name="_Toc419485043"/>
      <w:bookmarkStart w:id="126" w:name="_Toc347060293"/>
      <w:bookmarkStart w:id="127" w:name="_Toc492718076"/>
      <w:bookmarkStart w:id="128" w:name="_Toc346300367"/>
      <w:bookmarkStart w:id="129" w:name="_Toc330567034"/>
      <w:bookmarkStart w:id="130" w:name="_Toc327948617"/>
      <w:bookmarkStart w:id="131" w:name="_Toc424490262"/>
      <w:bookmarkStart w:id="132" w:name="_Toc464509948"/>
      <w:bookmarkStart w:id="133" w:name="_Toc360802730"/>
      <w:bookmarkStart w:id="134" w:name="_Toc347060296"/>
      <w:r>
        <w:rPr>
          <w:rFonts w:hint="eastAsia" w:ascii="宋体" w:hAnsi="宋体" w:eastAsia="宋体" w:cs="宋体"/>
          <w:b/>
          <w:bCs/>
          <w:color w:val="auto"/>
          <w:spacing w:val="0"/>
          <w:sz w:val="24"/>
          <w:szCs w:val="24"/>
          <w:highlight w:val="none"/>
        </w:rPr>
        <w:t>项目概况</w:t>
      </w:r>
      <w:bookmarkEnd w:id="120"/>
    </w:p>
    <w:p>
      <w:pPr>
        <w:pStyle w:val="36"/>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本次招标采购的</w:t>
      </w:r>
      <w:r>
        <w:rPr>
          <w:rFonts w:hint="eastAsia" w:ascii="宋体" w:hAnsi="宋体" w:cs="宋体"/>
          <w:sz w:val="24"/>
          <w:szCs w:val="24"/>
          <w:highlight w:val="none"/>
          <w:lang w:eastAsia="zh-CN"/>
        </w:rPr>
        <w:t>标的</w:t>
      </w:r>
      <w:r>
        <w:rPr>
          <w:rFonts w:hint="eastAsia" w:ascii="宋体" w:hAnsi="宋体" w:eastAsia="宋体" w:cs="宋体"/>
          <w:sz w:val="24"/>
          <w:szCs w:val="24"/>
          <w:highlight w:val="none"/>
        </w:rPr>
        <w:t>主要</w:t>
      </w:r>
      <w:r>
        <w:rPr>
          <w:rFonts w:hint="eastAsia" w:ascii="宋体" w:hAnsi="宋体" w:cs="宋体"/>
          <w:sz w:val="24"/>
          <w:szCs w:val="24"/>
          <w:highlight w:val="none"/>
          <w:lang w:eastAsia="zh-CN"/>
        </w:rPr>
        <w:t>为满足</w:t>
      </w:r>
      <w:r>
        <w:rPr>
          <w:rFonts w:hint="eastAsia" w:ascii="宋体" w:hAnsi="宋体" w:eastAsia="宋体" w:cs="宋体"/>
          <w:sz w:val="24"/>
          <w:szCs w:val="24"/>
          <w:highlight w:val="none"/>
        </w:rPr>
        <w:t>福建省</w:t>
      </w:r>
      <w:r>
        <w:rPr>
          <w:rFonts w:hint="eastAsia" w:ascii="宋体" w:hAnsi="宋体" w:cs="宋体"/>
          <w:sz w:val="24"/>
          <w:szCs w:val="24"/>
          <w:highlight w:val="none"/>
          <w:lang w:eastAsia="zh-CN"/>
        </w:rPr>
        <w:t>部分卫生院</w:t>
      </w:r>
      <w:r>
        <w:rPr>
          <w:rFonts w:hint="eastAsia" w:ascii="宋体" w:hAnsi="宋体" w:eastAsia="宋体" w:cs="宋体"/>
          <w:sz w:val="24"/>
          <w:szCs w:val="24"/>
          <w:highlight w:val="none"/>
        </w:rPr>
        <w:t>新冠肺炎</w:t>
      </w:r>
      <w:r>
        <w:rPr>
          <w:rFonts w:hint="eastAsia" w:ascii="宋体" w:hAnsi="宋体" w:cs="宋体"/>
          <w:sz w:val="24"/>
          <w:szCs w:val="24"/>
          <w:highlight w:val="none"/>
          <w:lang w:eastAsia="zh-CN"/>
        </w:rPr>
        <w:t>疫情</w:t>
      </w:r>
      <w:r>
        <w:rPr>
          <w:rFonts w:hint="eastAsia" w:ascii="宋体" w:hAnsi="宋体" w:eastAsia="宋体" w:cs="宋体"/>
          <w:sz w:val="24"/>
          <w:szCs w:val="24"/>
          <w:highlight w:val="none"/>
        </w:rPr>
        <w:t>防治</w:t>
      </w:r>
      <w:r>
        <w:rPr>
          <w:rFonts w:hint="eastAsia" w:ascii="宋体" w:hAnsi="宋体" w:cs="宋体"/>
          <w:sz w:val="24"/>
          <w:szCs w:val="24"/>
          <w:highlight w:val="none"/>
          <w:lang w:eastAsia="zh-CN"/>
        </w:rPr>
        <w:t>转运等需要</w:t>
      </w:r>
      <w:r>
        <w:rPr>
          <w:rFonts w:hint="eastAsia" w:ascii="宋体" w:hAnsi="宋体" w:eastAsia="宋体" w:cs="宋体"/>
          <w:sz w:val="24"/>
          <w:szCs w:val="24"/>
          <w:highlight w:val="none"/>
        </w:rPr>
        <w:t>。投标人提供的所有货物必须通过合法渠道获得，具有合法使用权和用户保护权且为全新原装货物,技术参数必须符合或优于国家及行业相关标准。</w:t>
      </w:r>
    </w:p>
    <w:p>
      <w:pPr>
        <w:pStyle w:val="36"/>
        <w:keepNext w:val="0"/>
        <w:keepLines w:val="0"/>
        <w:pageBreakBefore w:val="0"/>
        <w:widowControl/>
        <w:numPr>
          <w:ilvl w:val="0"/>
          <w:numId w:val="4"/>
        </w:numPr>
        <w:suppressLineNumbers w:val="0"/>
        <w:kinsoku/>
        <w:overflowPunct/>
        <w:topLinePunct w:val="0"/>
        <w:autoSpaceDE/>
        <w:autoSpaceDN/>
        <w:bidi w:val="0"/>
        <w:adjustRightInd/>
        <w:snapToGrid/>
        <w:spacing w:before="0" w:beforeLines="0" w:beforeAutospacing="0" w:after="0" w:afterLines="0" w:afterAutospacing="0" w:line="360" w:lineRule="auto"/>
        <w:ind w:left="0" w:leftChars="0" w:right="0" w:firstLine="0" w:firstLineChars="0"/>
        <w:textAlignment w:val="auto"/>
        <w:outlineLvl w:val="1"/>
        <w:rPr>
          <w:rFonts w:hint="eastAsia" w:ascii="宋体" w:hAnsi="宋体" w:cs="宋体"/>
          <w:b/>
          <w:bCs/>
          <w:color w:val="auto"/>
          <w:spacing w:val="0"/>
          <w:sz w:val="24"/>
          <w:szCs w:val="24"/>
          <w:highlight w:val="none"/>
          <w:lang w:eastAsia="zh-CN"/>
        </w:rPr>
      </w:pPr>
      <w:bookmarkStart w:id="135" w:name="_Toc23792"/>
      <w:r>
        <w:rPr>
          <w:rFonts w:hint="eastAsia" w:ascii="宋体" w:hAnsi="宋体" w:eastAsia="宋体" w:cs="宋体"/>
          <w:b/>
          <w:bCs/>
          <w:color w:val="auto"/>
          <w:spacing w:val="0"/>
          <w:sz w:val="24"/>
          <w:szCs w:val="24"/>
          <w:highlight w:val="none"/>
        </w:rPr>
        <w:t>技术要求</w:t>
      </w:r>
      <w:bookmarkEnd w:id="135"/>
      <w:r>
        <w:rPr>
          <w:rFonts w:hint="eastAsia" w:ascii="宋体" w:hAnsi="宋体" w:eastAsia="宋体" w:cs="宋体"/>
          <w:b/>
          <w:bCs/>
          <w:color w:val="auto"/>
          <w:sz w:val="24"/>
          <w:szCs w:val="24"/>
          <w:highlight w:val="none"/>
          <w:lang w:val="en-US" w:eastAsia="zh-CN"/>
        </w:rPr>
        <w:t>（以下内容均不可偏离，投标人应逐条进行响应，否则视为无效投标）</w:t>
      </w:r>
    </w:p>
    <w:p>
      <w:pPr>
        <w:keepNext w:val="0"/>
        <w:keepLines w:val="0"/>
        <w:pageBreakBefore w:val="0"/>
        <w:kinsoku/>
        <w:wordWrap/>
        <w:overflowPunct/>
        <w:topLinePunct w:val="0"/>
        <w:bidi w:val="0"/>
        <w:adjustRightInd/>
        <w:snapToGrid/>
        <w:spacing w:line="360" w:lineRule="auto"/>
        <w:ind w:firstLine="241" w:firstLineChars="1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rPr>
        <w:t>一</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rPr>
        <w:t>、主要功能要求</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本次采购的车辆其功能配置</w:t>
      </w:r>
      <w:r>
        <w:rPr>
          <w:rFonts w:hint="eastAsia" w:asciiTheme="minorEastAsia" w:hAnsiTheme="minorEastAsia" w:eastAsiaTheme="minorEastAsia" w:cstheme="minorEastAsia"/>
          <w:sz w:val="24"/>
          <w:szCs w:val="24"/>
          <w:highlight w:val="none"/>
          <w:lang w:eastAsia="zh-CN"/>
        </w:rPr>
        <w:t>具备基本医疗、转运救护功能，兼顾满足基层卫生院日常诊疗等服务功能。车载配置相关医疗检查设备与信息化系统，与乡镇卫生院服务能力功能定位相适应。</w:t>
      </w:r>
      <w:r>
        <w:rPr>
          <w:rFonts w:hint="eastAsia" w:asciiTheme="minorEastAsia" w:hAnsiTheme="minorEastAsia" w:eastAsiaTheme="minorEastAsia" w:cstheme="minorEastAsia"/>
          <w:sz w:val="24"/>
          <w:szCs w:val="24"/>
          <w:highlight w:val="none"/>
        </w:rPr>
        <w:t>车辆全方位满足驾乘需求，具有灵活舒适的空间配置，车辆必须适应农村山区乡镇道路行驶，便于进村入户，具有平稳、舒适、安全等优异的功能性能。</w:t>
      </w:r>
    </w:p>
    <w:p>
      <w:pPr>
        <w:keepNext w:val="0"/>
        <w:keepLines w:val="0"/>
        <w:pageBreakBefore w:val="0"/>
        <w:numPr>
          <w:ilvl w:val="0"/>
          <w:numId w:val="0"/>
        </w:numPr>
        <w:kinsoku/>
        <w:wordWrap/>
        <w:overflowPunct/>
        <w:topLinePunct w:val="0"/>
        <w:bidi w:val="0"/>
        <w:adjustRightInd/>
        <w:snapToGrid/>
        <w:spacing w:line="360" w:lineRule="auto"/>
        <w:ind w:firstLine="241" w:firstLineChars="1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eastAsia="zh-CN"/>
        </w:rPr>
        <w:t>（二）、</w:t>
      </w:r>
      <w:r>
        <w:rPr>
          <w:rFonts w:hint="eastAsia" w:asciiTheme="minorEastAsia" w:hAnsiTheme="minorEastAsia" w:eastAsiaTheme="minorEastAsia" w:cstheme="minorEastAsia"/>
          <w:b/>
          <w:bCs/>
          <w:sz w:val="24"/>
          <w:szCs w:val="24"/>
          <w:highlight w:val="none"/>
        </w:rPr>
        <w:t>车辆与设备配置要求</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rPr>
        <w:t>车辆配置要求</w:t>
      </w:r>
    </w:p>
    <w:p>
      <w:pPr>
        <w:pStyle w:val="224"/>
        <w:keepNext w:val="0"/>
        <w:keepLines w:val="0"/>
        <w:pageBreakBefore w:val="0"/>
        <w:tabs>
          <w:tab w:val="left" w:pos="0"/>
        </w:tabs>
        <w:kinsoku/>
        <w:wordWrap/>
        <w:overflowPunct/>
        <w:topLinePunct w:val="0"/>
        <w:bidi w:val="0"/>
        <w:adjustRightInd/>
        <w:snapToGrid/>
        <w:spacing w:line="360" w:lineRule="auto"/>
        <w:ind w:firstLine="640"/>
        <w:contextualSpacing/>
        <w:textAlignment w:val="auto"/>
        <w:rPr>
          <w:rFonts w:hint="eastAsia" w:asciiTheme="minorEastAsia" w:hAnsiTheme="minorEastAsia" w:eastAsiaTheme="minorEastAsia" w:cstheme="minorEastAsia"/>
          <w:sz w:val="24"/>
          <w:szCs w:val="24"/>
          <w:highlight w:val="none"/>
          <w:u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1.车辆符合国家行业标准规范，所有的装置应采用符合国家有关法规标准，</w:t>
      </w:r>
      <w:r>
        <w:rPr>
          <w:rFonts w:hint="eastAsia" w:asciiTheme="minorEastAsia" w:hAnsiTheme="minorEastAsia" w:eastAsiaTheme="minorEastAsia" w:cstheme="minorEastAsia"/>
          <w:sz w:val="24"/>
          <w:szCs w:val="24"/>
          <w:highlight w:val="none"/>
          <w:u w:val="none"/>
        </w:rPr>
        <w:t>发动机排放达到国</w:t>
      </w:r>
      <w:r>
        <w:rPr>
          <w:rFonts w:hint="eastAsia" w:asciiTheme="minorEastAsia" w:hAnsiTheme="minorEastAsia" w:eastAsiaTheme="minorEastAsia" w:cstheme="minorEastAsia"/>
          <w:sz w:val="24"/>
          <w:szCs w:val="24"/>
          <w:highlight w:val="none"/>
          <w:u w:val="none"/>
          <w:lang w:eastAsia="zh-CN"/>
        </w:rPr>
        <w:t>六</w:t>
      </w:r>
      <w:r>
        <w:rPr>
          <w:rFonts w:hint="eastAsia" w:asciiTheme="minorEastAsia" w:hAnsiTheme="minorEastAsia" w:eastAsiaTheme="minorEastAsia" w:cstheme="minorEastAsia"/>
          <w:sz w:val="24"/>
          <w:szCs w:val="24"/>
          <w:highlight w:val="none"/>
          <w:u w:val="none"/>
        </w:rPr>
        <w:t>标准，通过3C质量认证的合格产品。</w:t>
      </w:r>
    </w:p>
    <w:p>
      <w:pPr>
        <w:pStyle w:val="224"/>
        <w:keepNext w:val="0"/>
        <w:keepLines w:val="0"/>
        <w:pageBreakBefore w:val="0"/>
        <w:tabs>
          <w:tab w:val="left" w:pos="0"/>
        </w:tabs>
        <w:kinsoku/>
        <w:wordWrap/>
        <w:overflowPunct/>
        <w:topLinePunct w:val="0"/>
        <w:bidi w:val="0"/>
        <w:adjustRightInd/>
        <w:snapToGrid/>
        <w:spacing w:line="360" w:lineRule="auto"/>
        <w:ind w:firstLine="64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2.车辆的改装必须由同一品牌的生产厂家负责进行，要求所配备的车载设备便于医护人员操作，其工艺要求按国家的相关规范标准执行。布局设计时要考虑设备功能拓展预留空间位置。</w:t>
      </w:r>
    </w:p>
    <w:p>
      <w:pPr>
        <w:keepNext w:val="0"/>
        <w:keepLines w:val="0"/>
        <w:pageBreakBefore w:val="0"/>
        <w:kinsoku/>
        <w:wordWrap/>
        <w:overflowPunct/>
        <w:topLinePunct w:val="0"/>
        <w:bidi w:val="0"/>
        <w:adjustRightInd/>
        <w:snapToGrid/>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3.售后服务：车辆质保期</w:t>
      </w:r>
      <w:r>
        <w:rPr>
          <w:rFonts w:hint="eastAsia" w:ascii="宋体" w:hAnsi="宋体" w:eastAsia="宋体" w:cs="宋体"/>
          <w:sz w:val="24"/>
          <w:szCs w:val="24"/>
          <w:highlight w:val="none"/>
        </w:rPr>
        <w:t>≧</w:t>
      </w:r>
      <w:r>
        <w:rPr>
          <w:rFonts w:hint="eastAsia" w:asciiTheme="minorEastAsia" w:hAnsiTheme="minorEastAsia" w:eastAsiaTheme="minorEastAsia" w:cstheme="minorEastAsia"/>
          <w:sz w:val="24"/>
          <w:szCs w:val="24"/>
          <w:highlight w:val="none"/>
        </w:rPr>
        <w:t>2年或8万公里（先到为准），免费三清保养</w:t>
      </w:r>
      <w:r>
        <w:rPr>
          <w:rFonts w:hint="eastAsia" w:ascii="宋体" w:hAnsi="宋体" w:eastAsia="宋体" w:cs="宋体"/>
          <w:sz w:val="24"/>
          <w:szCs w:val="24"/>
          <w:highlight w:val="none"/>
        </w:rPr>
        <w:t>≧</w:t>
      </w:r>
      <w:r>
        <w:rPr>
          <w:rFonts w:hint="eastAsia" w:asciiTheme="minorEastAsia" w:hAnsiTheme="minorEastAsia" w:eastAsiaTheme="minorEastAsia" w:cstheme="minorEastAsia"/>
          <w:sz w:val="24"/>
          <w:szCs w:val="24"/>
          <w:highlight w:val="none"/>
        </w:rPr>
        <w:t>4次，所有三清保养中所需的机油、齿轮油及工时费全免。</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车载设备要求</w:t>
      </w:r>
    </w:p>
    <w:p>
      <w:pPr>
        <w:keepNext w:val="0"/>
        <w:keepLines w:val="0"/>
        <w:pageBreakBefore w:val="0"/>
        <w:numPr>
          <w:ilvl w:val="0"/>
          <w:numId w:val="0"/>
        </w:numPr>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2.1.</w:t>
      </w:r>
      <w:r>
        <w:rPr>
          <w:rFonts w:hint="eastAsia" w:asciiTheme="minorEastAsia" w:hAnsiTheme="minorEastAsia" w:eastAsiaTheme="minorEastAsia" w:cstheme="minorEastAsia"/>
          <w:b/>
          <w:sz w:val="24"/>
          <w:szCs w:val="24"/>
          <w:highlight w:val="none"/>
        </w:rPr>
        <w:t>车载智能一体化体检设备：</w:t>
      </w:r>
      <w:r>
        <w:rPr>
          <w:rFonts w:hint="eastAsia" w:asciiTheme="minorEastAsia" w:hAnsiTheme="minorEastAsia" w:eastAsiaTheme="minorEastAsia" w:cstheme="minorEastAsia"/>
          <w:sz w:val="24"/>
          <w:szCs w:val="24"/>
          <w:highlight w:val="none"/>
        </w:rPr>
        <w:t>全自动血压计、智能血糖仪、脉搏血氧检测仪、快速心电图检测仪（以上设备必须配备数据传输通讯接口，使检测数据通过有线和无线数据传输，提供通讯协议和数据解析协议）。管理系统包含：身份证读卡系统工控一体电脑,智能车载体检系统(体检数据自动上传至指定信息平台）。</w:t>
      </w:r>
    </w:p>
    <w:p>
      <w:pPr>
        <w:keepNext w:val="0"/>
        <w:keepLines w:val="0"/>
        <w:pageBreakBefore w:val="0"/>
        <w:kinsoku/>
        <w:wordWrap/>
        <w:overflowPunct/>
        <w:topLinePunct w:val="0"/>
        <w:bidi w:val="0"/>
        <w:adjustRightInd/>
        <w:snapToGrid/>
        <w:spacing w:line="360" w:lineRule="auto"/>
        <w:ind w:firstLine="482"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2.急救设备</w:t>
      </w:r>
      <w:r>
        <w:rPr>
          <w:rFonts w:hint="eastAsia" w:asciiTheme="minorEastAsia" w:hAnsiTheme="minorEastAsia" w:eastAsiaTheme="minorEastAsia" w:cstheme="minorEastAsia"/>
          <w:b/>
          <w:sz w:val="24"/>
          <w:szCs w:val="24"/>
          <w:highlight w:val="none"/>
        </w:rPr>
        <w:t>内容：</w:t>
      </w:r>
      <w:r>
        <w:rPr>
          <w:rFonts w:hint="eastAsia" w:asciiTheme="minorEastAsia" w:hAnsiTheme="minorEastAsia" w:eastAsiaTheme="minorEastAsia" w:cstheme="minorEastAsia"/>
          <w:sz w:val="24"/>
          <w:szCs w:val="24"/>
          <w:highlight w:val="none"/>
        </w:rPr>
        <w:t>救护轻便担架，</w:t>
      </w:r>
      <w:r>
        <w:rPr>
          <w:rFonts w:hint="eastAsia" w:asciiTheme="minorEastAsia" w:hAnsiTheme="minorEastAsia" w:eastAsiaTheme="minorEastAsia" w:cstheme="minorEastAsia"/>
          <w:sz w:val="24"/>
          <w:szCs w:val="24"/>
          <w:highlight w:val="none"/>
          <w:u w:val="none"/>
          <w:lang w:eastAsia="zh-CN"/>
        </w:rPr>
        <w:t>一</w:t>
      </w:r>
      <w:r>
        <w:rPr>
          <w:rFonts w:hint="eastAsia" w:asciiTheme="minorEastAsia" w:hAnsiTheme="minorEastAsia" w:eastAsiaTheme="minorEastAsia" w:cstheme="minorEastAsia"/>
          <w:sz w:val="24"/>
          <w:szCs w:val="24"/>
          <w:highlight w:val="none"/>
          <w:u w:val="none"/>
        </w:rPr>
        <w:t>个</w:t>
      </w:r>
      <w:r>
        <w:rPr>
          <w:rFonts w:hint="eastAsia" w:asciiTheme="minorEastAsia" w:hAnsiTheme="minorEastAsia" w:eastAsiaTheme="minorEastAsia" w:cstheme="minorEastAsia"/>
          <w:sz w:val="24"/>
          <w:szCs w:val="24"/>
          <w:highlight w:val="none"/>
          <w:u w:val="none"/>
          <w:lang w:val="en-US" w:eastAsia="zh-CN"/>
        </w:rPr>
        <w:t>10</w:t>
      </w:r>
      <w:r>
        <w:rPr>
          <w:rFonts w:hint="eastAsia" w:asciiTheme="minorEastAsia" w:hAnsiTheme="minorEastAsia" w:eastAsiaTheme="minorEastAsia" w:cstheme="minorEastAsia"/>
          <w:sz w:val="24"/>
          <w:szCs w:val="24"/>
          <w:highlight w:val="none"/>
          <w:u w:val="none"/>
        </w:rPr>
        <w:t>升</w:t>
      </w:r>
      <w:r>
        <w:rPr>
          <w:rFonts w:hint="eastAsia" w:asciiTheme="minorEastAsia" w:hAnsiTheme="minorEastAsia" w:eastAsiaTheme="minorEastAsia" w:cstheme="minorEastAsia"/>
          <w:sz w:val="24"/>
          <w:szCs w:val="24"/>
          <w:highlight w:val="none"/>
        </w:rPr>
        <w:t>氧气瓶（配备压力表、流量计、湿化瓶），急救箱，除颤仪。</w:t>
      </w:r>
    </w:p>
    <w:p>
      <w:pPr>
        <w:keepNext w:val="0"/>
        <w:keepLines w:val="0"/>
        <w:pageBreakBefore w:val="0"/>
        <w:kinsoku/>
        <w:wordWrap/>
        <w:overflowPunct/>
        <w:topLinePunct w:val="0"/>
        <w:bidi w:val="0"/>
        <w:adjustRightInd/>
        <w:snapToGrid/>
        <w:spacing w:line="360" w:lineRule="auto"/>
        <w:ind w:firstLine="482"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lang w:val="en-US" w:eastAsia="zh-CN"/>
        </w:rPr>
        <w:t>2.</w:t>
      </w:r>
      <w:r>
        <w:rPr>
          <w:rFonts w:hint="eastAsia" w:asciiTheme="minorEastAsia" w:hAnsiTheme="minorEastAsia" w:eastAsiaTheme="minorEastAsia" w:cstheme="minorEastAsia"/>
          <w:b/>
          <w:sz w:val="24"/>
          <w:szCs w:val="24"/>
          <w:highlight w:val="none"/>
        </w:rPr>
        <w:t>3.证书要求：</w:t>
      </w:r>
      <w:r>
        <w:rPr>
          <w:rFonts w:hint="eastAsia" w:asciiTheme="minorEastAsia" w:hAnsiTheme="minorEastAsia" w:eastAsiaTheme="minorEastAsia" w:cstheme="minorEastAsia"/>
          <w:sz w:val="24"/>
          <w:szCs w:val="24"/>
          <w:highlight w:val="none"/>
        </w:rPr>
        <w:t>需提供医疗器械产品注册证、医疗器械生产</w:t>
      </w:r>
      <w:r>
        <w:rPr>
          <w:rFonts w:hint="eastAsia" w:asciiTheme="minorEastAsia" w:hAnsiTheme="minorEastAsia" w:eastAsiaTheme="minorEastAsia" w:cstheme="minorEastAsia"/>
          <w:sz w:val="24"/>
          <w:szCs w:val="24"/>
          <w:highlight w:val="none"/>
          <w:lang w:eastAsia="zh-CN"/>
        </w:rPr>
        <w:t>或</w:t>
      </w:r>
      <w:r>
        <w:rPr>
          <w:rFonts w:hint="eastAsia" w:asciiTheme="minorEastAsia" w:hAnsiTheme="minorEastAsia" w:eastAsiaTheme="minorEastAsia" w:cstheme="minorEastAsia"/>
          <w:sz w:val="24"/>
          <w:szCs w:val="24"/>
          <w:highlight w:val="none"/>
        </w:rPr>
        <w:t>经营许可证、合格证、出厂检验报告、说明书。所提供的管理系统必须具备自主知识产权的同名称软件著作权证书。</w:t>
      </w:r>
    </w:p>
    <w:p>
      <w:pPr>
        <w:keepNext w:val="0"/>
        <w:keepLines w:val="0"/>
        <w:pageBreakBefore w:val="0"/>
        <w:kinsoku/>
        <w:wordWrap/>
        <w:overflowPunct/>
        <w:topLinePunct w:val="0"/>
        <w:bidi w:val="0"/>
        <w:adjustRightInd/>
        <w:snapToGrid/>
        <w:spacing w:line="360" w:lineRule="auto"/>
        <w:ind w:firstLine="482"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lang w:val="en-US" w:eastAsia="zh-CN"/>
        </w:rPr>
        <w:t>2.</w:t>
      </w:r>
      <w:r>
        <w:rPr>
          <w:rFonts w:hint="eastAsia" w:asciiTheme="minorEastAsia" w:hAnsiTheme="minorEastAsia" w:eastAsiaTheme="minorEastAsia" w:cstheme="minorEastAsia"/>
          <w:b/>
          <w:sz w:val="24"/>
          <w:szCs w:val="24"/>
          <w:highlight w:val="none"/>
        </w:rPr>
        <w:t>4.服务承诺：</w:t>
      </w:r>
      <w:r>
        <w:rPr>
          <w:rFonts w:hint="eastAsia" w:asciiTheme="minorEastAsia" w:hAnsiTheme="minorEastAsia" w:eastAsiaTheme="minorEastAsia" w:cstheme="minorEastAsia"/>
          <w:sz w:val="24"/>
          <w:szCs w:val="24"/>
          <w:highlight w:val="none"/>
        </w:rPr>
        <w:t>医疗设备质保期应</w:t>
      </w:r>
      <w:r>
        <w:rPr>
          <w:rFonts w:hint="eastAsia" w:ascii="宋体" w:hAnsi="宋体" w:eastAsia="宋体" w:cs="宋体"/>
          <w:sz w:val="24"/>
          <w:szCs w:val="24"/>
          <w:highlight w:val="none"/>
        </w:rPr>
        <w:t>≧</w:t>
      </w:r>
      <w:r>
        <w:rPr>
          <w:rFonts w:hint="eastAsia" w:asciiTheme="minorEastAsia" w:hAnsiTheme="minorEastAsia" w:eastAsiaTheme="minorEastAsia" w:cstheme="minorEastAsia"/>
          <w:sz w:val="24"/>
          <w:szCs w:val="24"/>
          <w:highlight w:val="none"/>
        </w:rPr>
        <w:t>两年，质保期的服务响应时间（必须在4个小时作出响应）。免费提供质保期内的日常维护，系统安装后每季度上门进行巡回维护服务，并无偿提供</w:t>
      </w:r>
      <w:r>
        <w:rPr>
          <w:rFonts w:hint="eastAsia" w:ascii="宋体" w:hAnsi="宋体" w:eastAsia="宋体" w:cs="宋体"/>
          <w:sz w:val="24"/>
          <w:szCs w:val="24"/>
          <w:highlight w:val="none"/>
        </w:rPr>
        <w:t>≧</w:t>
      </w:r>
      <w:r>
        <w:rPr>
          <w:rFonts w:hint="eastAsia" w:asciiTheme="minorEastAsia" w:hAnsiTheme="minorEastAsia" w:eastAsiaTheme="minorEastAsia" w:cstheme="minorEastAsia"/>
          <w:sz w:val="24"/>
          <w:szCs w:val="24"/>
          <w:highlight w:val="none"/>
        </w:rPr>
        <w:t>3年内软件操作系统的升级更新服务。</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rPr>
        <w:t>信息网络系统要求</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配置相应的软件操作系统，预留有完整规范的集成接口，具有较好的升级换代的扩展性和兼容性。通过车载专用无线网接入公共/专用通信网络及计算机辅助管理系统与远程HIS管理中心联网，实现实时无线数据传输,并免费提供支持通信端口所需的软件及今后更新换代的无偿服务。各医疗仪器通讯端口接口软件相适配，保证相关的医疗检查设备数据可实时登入、录入、存储和远程传输上传。</w:t>
      </w:r>
    </w:p>
    <w:p>
      <w:pPr>
        <w:keepNext w:val="0"/>
        <w:keepLines w:val="0"/>
        <w:pageBreakBefore w:val="0"/>
        <w:kinsoku/>
        <w:wordWrap/>
        <w:overflowPunct/>
        <w:topLinePunct w:val="0"/>
        <w:bidi w:val="0"/>
        <w:adjustRightInd/>
        <w:snapToGrid/>
        <w:spacing w:line="360" w:lineRule="auto"/>
        <w:ind w:firstLine="482"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 xml:space="preserve"> </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rPr>
        <w:t>三</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rPr>
        <w:t>、采购要求：</w:t>
      </w:r>
    </w:p>
    <w:tbl>
      <w:tblPr>
        <w:tblStyle w:val="4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041"/>
        <w:gridCol w:w="1200"/>
        <w:gridCol w:w="915"/>
        <w:gridCol w:w="4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合同包</w:t>
            </w:r>
          </w:p>
        </w:tc>
        <w:tc>
          <w:tcPr>
            <w:tcW w:w="2041"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货物名称</w:t>
            </w:r>
          </w:p>
        </w:tc>
        <w:tc>
          <w:tcPr>
            <w:tcW w:w="1200"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是否进</w:t>
            </w:r>
            <w:r>
              <w:rPr>
                <w:rFonts w:hint="eastAsia" w:asciiTheme="minorEastAsia" w:hAnsiTheme="minorEastAsia" w:eastAsiaTheme="minorEastAsia" w:cstheme="minorEastAsia"/>
                <w:sz w:val="24"/>
                <w:szCs w:val="24"/>
                <w:highlight w:val="none"/>
                <w:lang w:eastAsia="zh-CN"/>
              </w:rPr>
              <w:t>口</w:t>
            </w:r>
          </w:p>
        </w:tc>
        <w:tc>
          <w:tcPr>
            <w:tcW w:w="915"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数量</w:t>
            </w:r>
          </w:p>
        </w:tc>
        <w:tc>
          <w:tcPr>
            <w:tcW w:w="4528"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配置车载设备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p>
        </w:tc>
        <w:tc>
          <w:tcPr>
            <w:tcW w:w="2041"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rPr>
            </w:pPr>
            <w:r>
              <w:rPr>
                <w:rFonts w:hint="eastAsia" w:ascii="宋体" w:hAnsi="宋体" w:cs="宋体"/>
                <w:color w:val="auto"/>
                <w:sz w:val="24"/>
                <w:highlight w:val="none"/>
                <w:lang w:eastAsia="zh-CN"/>
              </w:rPr>
              <w:t>转运</w:t>
            </w:r>
            <w:r>
              <w:rPr>
                <w:rFonts w:hint="eastAsia" w:ascii="宋体" w:hAnsi="宋体" w:eastAsia="宋体" w:cs="宋体"/>
                <w:color w:val="auto"/>
                <w:sz w:val="24"/>
                <w:highlight w:val="none"/>
              </w:rPr>
              <w:t>救护车</w:t>
            </w:r>
          </w:p>
        </w:tc>
        <w:tc>
          <w:tcPr>
            <w:tcW w:w="1200"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否</w:t>
            </w:r>
          </w:p>
        </w:tc>
        <w:tc>
          <w:tcPr>
            <w:tcW w:w="915"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0辆</w:t>
            </w:r>
          </w:p>
        </w:tc>
        <w:tc>
          <w:tcPr>
            <w:tcW w:w="4528" w:type="dxa"/>
            <w:vAlign w:val="center"/>
          </w:tcPr>
          <w:p>
            <w:pPr>
              <w:keepNext w:val="0"/>
              <w:keepLines w:val="0"/>
              <w:pageBreakBefore w:val="0"/>
              <w:tabs>
                <w:tab w:val="left" w:pos="6945"/>
              </w:tabs>
              <w:kinsoku/>
              <w:wordWrap/>
              <w:overflowPunct/>
              <w:topLinePunct w:val="0"/>
              <w:bidi w:val="0"/>
              <w:adjustRightInd/>
              <w:snapToGrid/>
              <w:spacing w:line="360" w:lineRule="auto"/>
              <w:contextualSpacing/>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1. AED自动除颤仪、轻便担架，氧气瓶，急救箱各一台（套）</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2.智能一体化体检设备（一套）</w:t>
            </w:r>
            <w:r>
              <w:rPr>
                <w:rFonts w:hint="eastAsia" w:asciiTheme="minorEastAsia" w:hAnsiTheme="minorEastAsia" w:eastAsiaTheme="minorEastAsia" w:cstheme="minorEastAsia"/>
                <w:sz w:val="24"/>
                <w:szCs w:val="24"/>
                <w:highlight w:val="none"/>
                <w:lang w:eastAsia="zh-CN"/>
              </w:rPr>
              <w:t>包含</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全自动</w:t>
            </w:r>
            <w:r>
              <w:rPr>
                <w:rFonts w:hint="eastAsia" w:asciiTheme="minorEastAsia" w:hAnsiTheme="minorEastAsia" w:eastAsiaTheme="minorEastAsia" w:cstheme="minorEastAsia"/>
                <w:sz w:val="24"/>
                <w:szCs w:val="24"/>
                <w:highlight w:val="none"/>
              </w:rPr>
              <w:t>血压计、智能血糖仪、</w:t>
            </w:r>
            <w:r>
              <w:rPr>
                <w:rFonts w:hint="eastAsia" w:asciiTheme="minorEastAsia" w:hAnsiTheme="minorEastAsia" w:eastAsiaTheme="minorEastAsia" w:cstheme="minorEastAsia"/>
                <w:sz w:val="24"/>
                <w:szCs w:val="24"/>
                <w:highlight w:val="none"/>
                <w:lang w:eastAsia="zh-CN"/>
              </w:rPr>
              <w:t>快速</w:t>
            </w:r>
            <w:r>
              <w:rPr>
                <w:rFonts w:hint="eastAsia" w:asciiTheme="minorEastAsia" w:hAnsiTheme="minorEastAsia" w:eastAsiaTheme="minorEastAsia" w:cstheme="minorEastAsia"/>
                <w:sz w:val="24"/>
                <w:szCs w:val="24"/>
                <w:highlight w:val="none"/>
              </w:rPr>
              <w:t>心电图检测仪、脉搏血氧检测仪及</w:t>
            </w:r>
            <w:r>
              <w:rPr>
                <w:rFonts w:hint="eastAsia" w:asciiTheme="minorEastAsia" w:hAnsiTheme="minorEastAsia" w:eastAsiaTheme="minorEastAsia" w:cstheme="minorEastAsia"/>
                <w:sz w:val="24"/>
                <w:szCs w:val="24"/>
                <w:highlight w:val="none"/>
                <w:lang w:eastAsia="zh-CN"/>
              </w:rPr>
              <w:t>信息</w:t>
            </w:r>
            <w:r>
              <w:rPr>
                <w:rFonts w:hint="eastAsia" w:asciiTheme="minorEastAsia" w:hAnsiTheme="minorEastAsia" w:eastAsiaTheme="minorEastAsia" w:cstheme="minorEastAsia"/>
                <w:sz w:val="24"/>
                <w:szCs w:val="24"/>
                <w:highlight w:val="none"/>
              </w:rPr>
              <w:t>管理系统。</w:t>
            </w:r>
          </w:p>
        </w:tc>
      </w:tr>
    </w:tbl>
    <w:p>
      <w:pPr>
        <w:keepNext w:val="0"/>
        <w:keepLines w:val="0"/>
        <w:pageBreakBefore w:val="0"/>
        <w:tabs>
          <w:tab w:val="left" w:pos="6945"/>
        </w:tabs>
        <w:kinsoku/>
        <w:wordWrap/>
        <w:overflowPunct/>
        <w:topLinePunct w:val="0"/>
        <w:bidi w:val="0"/>
        <w:adjustRightInd/>
        <w:snapToGrid/>
        <w:spacing w:line="360" w:lineRule="auto"/>
        <w:contextualSpacing/>
        <w:textAlignment w:val="auto"/>
        <w:rPr>
          <w:rFonts w:hint="eastAsia" w:asciiTheme="minorEastAsia" w:hAnsiTheme="minorEastAsia" w:eastAsiaTheme="minorEastAsia" w:cstheme="minorEastAsia"/>
          <w:b/>
          <w:bCs/>
          <w:sz w:val="24"/>
          <w:szCs w:val="24"/>
          <w:highlight w:val="none"/>
          <w:u w:val="single"/>
        </w:rPr>
      </w:pPr>
    </w:p>
    <w:p>
      <w:pPr>
        <w:keepNext w:val="0"/>
        <w:keepLines w:val="0"/>
        <w:pageBreakBefore w:val="0"/>
        <w:tabs>
          <w:tab w:val="left" w:pos="6945"/>
        </w:tabs>
        <w:kinsoku/>
        <w:wordWrap/>
        <w:overflowPunct/>
        <w:topLinePunct w:val="0"/>
        <w:bidi w:val="0"/>
        <w:adjustRightInd/>
        <w:snapToGrid/>
        <w:spacing w:line="360" w:lineRule="auto"/>
        <w:contextualSpacing/>
        <w:textAlignment w:val="auto"/>
        <w:rPr>
          <w:rFonts w:hint="eastAsia" w:asciiTheme="minorEastAsia" w:hAnsiTheme="minorEastAsia" w:eastAsiaTheme="minorEastAsia" w:cstheme="minorEastAsia"/>
          <w:b/>
          <w:bCs/>
          <w:sz w:val="24"/>
          <w:szCs w:val="24"/>
          <w:highlight w:val="none"/>
          <w:u w:val="single"/>
        </w:rPr>
      </w:pPr>
      <w:r>
        <w:rPr>
          <w:rFonts w:hint="eastAsia" w:asciiTheme="minorEastAsia" w:hAnsiTheme="minorEastAsia" w:eastAsiaTheme="minorEastAsia" w:cstheme="minorEastAsia"/>
          <w:b/>
          <w:bCs/>
          <w:sz w:val="24"/>
          <w:szCs w:val="24"/>
          <w:highlight w:val="none"/>
          <w:u w:val="single"/>
        </w:rPr>
        <w:t>注：车辆及各种车载参数见附件1——附件4。</w:t>
      </w:r>
    </w:p>
    <w:p>
      <w:pPr>
        <w:keepNext w:val="0"/>
        <w:keepLines w:val="0"/>
        <w:pageBreakBefore w:val="0"/>
        <w:kinsoku/>
        <w:wordWrap/>
        <w:overflowPunct/>
        <w:topLinePunct w:val="0"/>
        <w:bidi w:val="0"/>
        <w:adjustRightInd/>
        <w:snapToGrid/>
        <w:spacing w:line="360" w:lineRule="auto"/>
        <w:ind w:firstLine="723" w:firstLineChars="3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rPr>
        <w:t>提供材料：</w:t>
      </w:r>
      <w:r>
        <w:rPr>
          <w:rFonts w:hint="eastAsia" w:asciiTheme="minorEastAsia" w:hAnsiTheme="minorEastAsia" w:eastAsiaTheme="minorEastAsia" w:cstheme="minorEastAsia"/>
          <w:sz w:val="24"/>
          <w:szCs w:val="24"/>
          <w:highlight w:val="none"/>
        </w:rPr>
        <w:t>各投标方在</w:t>
      </w:r>
      <w:r>
        <w:rPr>
          <w:rFonts w:hint="eastAsia" w:asciiTheme="minorEastAsia" w:hAnsiTheme="minorEastAsia" w:eastAsiaTheme="minorEastAsia" w:cstheme="minorEastAsia"/>
          <w:sz w:val="24"/>
          <w:szCs w:val="24"/>
          <w:highlight w:val="none"/>
          <w:u w:val="none"/>
        </w:rPr>
        <w:t>投标时应提供相关车辆体检舱平面布置图、车内设备布置配备图及车辆内/外彩图。</w:t>
      </w:r>
      <w:r>
        <w:rPr>
          <w:rFonts w:hint="eastAsia" w:asciiTheme="minorEastAsia" w:hAnsiTheme="minorEastAsia" w:eastAsiaTheme="minorEastAsia" w:cstheme="minorEastAsia"/>
          <w:sz w:val="24"/>
          <w:szCs w:val="24"/>
          <w:highlight w:val="none"/>
        </w:rPr>
        <w:t>供货方需提供车辆、设备及相关的配套设施产品的出厂技术参数表，使用说明等资料。本采购方案中未提及的参数及功能和其优势项目，可提供补充说明材料，以作为选择参考。</w:t>
      </w:r>
    </w:p>
    <w:p>
      <w:pPr>
        <w:keepNext w:val="0"/>
        <w:keepLines w:val="0"/>
        <w:pageBreakBefore w:val="0"/>
        <w:kinsoku/>
        <w:wordWrap/>
        <w:overflowPunct/>
        <w:topLinePunct w:val="0"/>
        <w:bidi w:val="0"/>
        <w:adjustRightInd/>
        <w:snapToGrid/>
        <w:spacing w:line="360" w:lineRule="auto"/>
        <w:ind w:firstLine="64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lang w:val="en-US" w:eastAsia="zh-CN"/>
        </w:rPr>
        <w:t>2、售</w:t>
      </w:r>
      <w:r>
        <w:rPr>
          <w:rFonts w:hint="eastAsia" w:asciiTheme="minorEastAsia" w:hAnsiTheme="minorEastAsia" w:eastAsiaTheme="minorEastAsia" w:cstheme="minorEastAsia"/>
          <w:b/>
          <w:sz w:val="24"/>
          <w:szCs w:val="24"/>
          <w:highlight w:val="none"/>
        </w:rPr>
        <w:t>后服务：</w:t>
      </w:r>
      <w:r>
        <w:rPr>
          <w:rFonts w:hint="eastAsia" w:asciiTheme="minorEastAsia" w:hAnsiTheme="minorEastAsia" w:eastAsiaTheme="minorEastAsia" w:cstheme="minorEastAsia"/>
          <w:sz w:val="24"/>
          <w:szCs w:val="24"/>
          <w:highlight w:val="none"/>
        </w:rPr>
        <w:t>中标供应商</w:t>
      </w:r>
      <w:r>
        <w:rPr>
          <w:rFonts w:hint="eastAsia" w:asciiTheme="minorEastAsia" w:hAnsiTheme="minorEastAsia" w:eastAsiaTheme="minorEastAsia" w:cstheme="minorEastAsia"/>
          <w:kern w:val="0"/>
          <w:sz w:val="24"/>
          <w:szCs w:val="24"/>
          <w:highlight w:val="none"/>
        </w:rPr>
        <w:t>所提供的车辆及其底盘车均须有国家汽车公告认可，车辆运行安全条件应符合GB7258－2017《机动车运行安全技术条件》，</w:t>
      </w:r>
      <w:r>
        <w:rPr>
          <w:rFonts w:hint="eastAsia" w:asciiTheme="minorEastAsia" w:hAnsiTheme="minorEastAsia" w:eastAsiaTheme="minorEastAsia" w:cstheme="minorEastAsia"/>
          <w:sz w:val="24"/>
          <w:szCs w:val="24"/>
          <w:highlight w:val="none"/>
        </w:rPr>
        <w:t>并提供车辆售后维护保养服务，车载医疗设备售后服务由设备厂家负责。</w:t>
      </w:r>
    </w:p>
    <w:p>
      <w:pPr>
        <w:keepNext w:val="0"/>
        <w:keepLines w:val="0"/>
        <w:pageBreakBefore w:val="0"/>
        <w:kinsoku/>
        <w:wordWrap/>
        <w:overflowPunct/>
        <w:topLinePunct w:val="0"/>
        <w:bidi w:val="0"/>
        <w:adjustRightInd/>
        <w:snapToGrid/>
        <w:spacing w:line="360" w:lineRule="auto"/>
        <w:ind w:firstLine="640"/>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lang w:eastAsia="zh-CN"/>
        </w:rPr>
        <w:t>上牌与配件：</w:t>
      </w:r>
      <w:r>
        <w:rPr>
          <w:rFonts w:hint="eastAsia" w:asciiTheme="minorEastAsia" w:hAnsiTheme="minorEastAsia" w:eastAsiaTheme="minorEastAsia" w:cstheme="minorEastAsia"/>
          <w:sz w:val="24"/>
          <w:szCs w:val="24"/>
          <w:highlight w:val="none"/>
          <w:lang w:eastAsia="zh-CN"/>
        </w:rPr>
        <w:t>中标供应商必须保证车辆顺利办理报牌手续，并提供售后维护配件和服务，否则按中标价格予以赔偿。</w:t>
      </w:r>
    </w:p>
    <w:p>
      <w:pP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br w:type="page"/>
      </w:r>
    </w:p>
    <w:p>
      <w:pPr>
        <w:pStyle w:val="225"/>
        <w:keepNext w:val="0"/>
        <w:keepLines w:val="0"/>
        <w:pageBreakBefore w:val="0"/>
        <w:kinsoku/>
        <w:wordWrap/>
        <w:overflowPunct/>
        <w:topLinePunct w:val="0"/>
        <w:bidi w:val="0"/>
        <w:adjustRightInd/>
        <w:snapToGrid/>
        <w:spacing w:line="360" w:lineRule="auto"/>
        <w:ind w:firstLine="0" w:firstLineChars="0"/>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附件1</w:t>
      </w:r>
    </w:p>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救护车主要配置与参数</w:t>
      </w: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shd w:val="pct10" w:color="auto" w:fill="FFFFFF"/>
        </w:rPr>
        <w:t>一、救护车参数表</w:t>
      </w:r>
    </w:p>
    <w:tbl>
      <w:tblPr>
        <w:tblStyle w:val="40"/>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843"/>
        <w:gridCol w:w="2065"/>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02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分项</w:t>
            </w:r>
          </w:p>
        </w:tc>
        <w:tc>
          <w:tcPr>
            <w:tcW w:w="3908" w:type="dxa"/>
            <w:gridSpan w:val="2"/>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项         目</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1020" w:type="dxa"/>
            <w:vMerge w:val="restart"/>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整车</w:t>
            </w:r>
          </w:p>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参数</w:t>
            </w: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外形尺寸（ 长宽×高）（mm）</w:t>
            </w:r>
          </w:p>
        </w:tc>
        <w:tc>
          <w:tcPr>
            <w:tcW w:w="4850" w:type="dxa"/>
            <w:vAlign w:val="top"/>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5330±5×1700±5×2440±5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轴      数</w:t>
            </w:r>
          </w:p>
        </w:tc>
        <w:tc>
          <w:tcPr>
            <w:tcW w:w="4850" w:type="dxa"/>
            <w:vAlign w:val="top"/>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轴      距（mm）</w:t>
            </w:r>
          </w:p>
        </w:tc>
        <w:tc>
          <w:tcPr>
            <w:tcW w:w="4850" w:type="dxa"/>
            <w:vAlign w:val="top"/>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restart"/>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轮      距（mm）</w:t>
            </w:r>
          </w:p>
        </w:tc>
        <w:tc>
          <w:tcPr>
            <w:tcW w:w="2065" w:type="dxa"/>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前  轮 </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宋体" w:hAnsi="宋体" w:eastAsia="宋体" w:cs="宋体"/>
                <w:sz w:val="24"/>
                <w:szCs w:val="24"/>
                <w:highlight w:val="none"/>
              </w:rPr>
              <w:t>≧</w:t>
            </w:r>
            <w:r>
              <w:rPr>
                <w:rFonts w:hint="eastAsia" w:asciiTheme="minorEastAsia" w:hAnsiTheme="minorEastAsia" w:eastAsiaTheme="minorEastAsia" w:cstheme="minorEastAsia"/>
                <w:sz w:val="24"/>
                <w:szCs w:val="24"/>
                <w:highlight w:val="none"/>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kern w:val="0"/>
                <w:sz w:val="24"/>
                <w:szCs w:val="24"/>
                <w:highlight w:val="none"/>
              </w:rPr>
            </w:pPr>
          </w:p>
        </w:tc>
        <w:tc>
          <w:tcPr>
            <w:tcW w:w="1843" w:type="dxa"/>
            <w:vMerge w:val="continue"/>
            <w:vAlign w:val="center"/>
          </w:tcPr>
          <w:p>
            <w:pPr>
              <w:keepNext w:val="0"/>
              <w:keepLines w:val="0"/>
              <w:pageBreakBefore w:val="0"/>
              <w:widowControl/>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kern w:val="0"/>
                <w:sz w:val="24"/>
                <w:szCs w:val="24"/>
                <w:highlight w:val="none"/>
              </w:rPr>
            </w:pPr>
          </w:p>
        </w:tc>
        <w:tc>
          <w:tcPr>
            <w:tcW w:w="2065" w:type="dxa"/>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后  轮</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宋体" w:hAnsi="宋体" w:eastAsia="宋体" w:cs="宋体"/>
                <w:sz w:val="24"/>
                <w:szCs w:val="24"/>
                <w:highlight w:val="none"/>
              </w:rPr>
              <w:t>≧</w:t>
            </w:r>
            <w:r>
              <w:rPr>
                <w:rFonts w:hint="eastAsia" w:asciiTheme="minorEastAsia" w:hAnsiTheme="minorEastAsia" w:eastAsiaTheme="minorEastAsia" w:cstheme="minorEastAsia"/>
                <w:sz w:val="24"/>
                <w:szCs w:val="24"/>
                <w:highlight w:val="none"/>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最大总质量（kg）</w:t>
            </w:r>
          </w:p>
        </w:tc>
        <w:tc>
          <w:tcPr>
            <w:tcW w:w="4850" w:type="dxa"/>
            <w:vAlign w:val="top"/>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整车整备质量（kg）</w:t>
            </w:r>
          </w:p>
        </w:tc>
        <w:tc>
          <w:tcPr>
            <w:tcW w:w="4850" w:type="dxa"/>
            <w:vAlign w:val="top"/>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接近角 /离去角（°）</w:t>
            </w:r>
          </w:p>
        </w:tc>
        <w:tc>
          <w:tcPr>
            <w:tcW w:w="4850" w:type="dxa"/>
            <w:vAlign w:val="top"/>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18/13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前悬/后悬（mm）</w:t>
            </w:r>
          </w:p>
        </w:tc>
        <w:tc>
          <w:tcPr>
            <w:tcW w:w="4850" w:type="dxa"/>
            <w:vAlign w:val="top"/>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1300/1140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额定乘员（含驾驶员）</w:t>
            </w:r>
          </w:p>
        </w:tc>
        <w:tc>
          <w:tcPr>
            <w:tcW w:w="4850"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pStyle w:val="22"/>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最高车速（km/h）</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最 小 转 弯 直 径</w:t>
            </w:r>
            <w:r>
              <w:rPr>
                <w:rFonts w:hint="eastAsia" w:asciiTheme="minorEastAsia" w:hAnsiTheme="minorEastAsia" w:eastAsiaTheme="minorEastAsia" w:cstheme="minorEastAsia"/>
                <w:kern w:val="0"/>
                <w:sz w:val="24"/>
                <w:szCs w:val="24"/>
                <w:highlight w:val="none"/>
              </w:rPr>
              <w:t>（m）</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最大爬坡度</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最小离地间隙</w:t>
            </w:r>
            <w:r>
              <w:rPr>
                <w:rFonts w:hint="eastAsia" w:asciiTheme="minorEastAsia" w:hAnsiTheme="minorEastAsia" w:eastAsiaTheme="minorEastAsia" w:cstheme="minorEastAsia"/>
                <w:kern w:val="0"/>
                <w:sz w:val="24"/>
                <w:szCs w:val="24"/>
                <w:highlight w:val="none"/>
              </w:rPr>
              <w:t>（mm）</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155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燃油箱容量（L）</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驱动方式</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排放</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国</w:t>
            </w:r>
            <w:r>
              <w:rPr>
                <w:rFonts w:hint="eastAsia" w:asciiTheme="minorEastAsia" w:hAnsiTheme="minorEastAsia" w:eastAsiaTheme="minorEastAsia" w:cstheme="minorEastAsia"/>
                <w:sz w:val="24"/>
                <w:szCs w:val="24"/>
                <w:highlight w:val="none"/>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restart"/>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发动机</w:t>
            </w:r>
          </w:p>
        </w:tc>
        <w:tc>
          <w:tcPr>
            <w:tcW w:w="3908" w:type="dxa"/>
            <w:gridSpan w:val="2"/>
            <w:vAlign w:val="center"/>
          </w:tcPr>
          <w:p>
            <w:pPr>
              <w:pStyle w:val="22"/>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使用燃料</w:t>
            </w:r>
          </w:p>
        </w:tc>
        <w:tc>
          <w:tcPr>
            <w:tcW w:w="4850" w:type="dxa"/>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kinsoku/>
              <w:wordWrap/>
              <w:overflowPunct/>
              <w:topLinePunct w:val="0"/>
              <w:bidi w:val="0"/>
              <w:adjustRightInd/>
              <w:snapToGrid/>
              <w:spacing w:line="360" w:lineRule="auto"/>
              <w:ind w:right="-111" w:rightChars="-53"/>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排量</w:t>
            </w:r>
            <w:r>
              <w:rPr>
                <w:rFonts w:hint="eastAsia" w:asciiTheme="minorEastAsia" w:hAnsiTheme="minorEastAsia" w:eastAsiaTheme="minorEastAsia" w:cstheme="minorEastAsia"/>
                <w:sz w:val="24"/>
                <w:szCs w:val="24"/>
                <w:highlight w:val="none"/>
              </w:rPr>
              <w:t>(ml)</w:t>
            </w:r>
          </w:p>
        </w:tc>
        <w:tc>
          <w:tcPr>
            <w:tcW w:w="4850" w:type="dxa"/>
            <w:vAlign w:val="center"/>
          </w:tcPr>
          <w:p>
            <w:pPr>
              <w:pStyle w:val="22"/>
              <w:keepNext w:val="0"/>
              <w:keepLines w:val="0"/>
              <w:pageBreakBefore w:val="0"/>
              <w:kinsoku/>
              <w:wordWrap/>
              <w:overflowPunct/>
              <w:topLinePunct w:val="0"/>
              <w:bidi w:val="0"/>
              <w:adjustRightInd/>
              <w:snapToGrid/>
              <w:spacing w:line="360" w:lineRule="auto"/>
              <w:ind w:right="-105" w:rightChars="-50"/>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1750-2000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额定功率 (kW)</w:t>
            </w:r>
          </w:p>
        </w:tc>
        <w:tc>
          <w:tcPr>
            <w:tcW w:w="4850" w:type="dxa"/>
            <w:vAlign w:val="center"/>
          </w:tcPr>
          <w:p>
            <w:pPr>
              <w:pStyle w:val="22"/>
              <w:keepNext w:val="0"/>
              <w:keepLines w:val="0"/>
              <w:pageBreakBefore w:val="0"/>
              <w:kinsoku/>
              <w:wordWrap/>
              <w:overflowPunct/>
              <w:topLinePunct w:val="0"/>
              <w:bidi w:val="0"/>
              <w:adjustRightInd/>
              <w:snapToGrid/>
              <w:spacing w:line="360" w:lineRule="auto"/>
              <w:ind w:right="-105" w:rightChars="-50"/>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kern w:val="0"/>
                <w:sz w:val="24"/>
                <w:szCs w:val="24"/>
                <w:highlight w:val="none"/>
              </w:rPr>
              <w:t>9</w:t>
            </w:r>
            <w:r>
              <w:rPr>
                <w:rFonts w:hint="eastAsia" w:asciiTheme="minorEastAsia" w:hAnsiTheme="minorEastAsia" w:eastAsiaTheme="minorEastAsia" w:cstheme="minorEastAsia"/>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最大扭矩(N.m)</w:t>
            </w:r>
          </w:p>
        </w:tc>
        <w:tc>
          <w:tcPr>
            <w:tcW w:w="4850"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lang w:eastAsia="zh-CN"/>
              </w:rPr>
            </w:pPr>
            <w:r>
              <w:rPr>
                <w:rFonts w:hint="eastAsia" w:ascii="宋体" w:hAnsi="宋体" w:eastAsia="宋体" w:cs="宋体"/>
                <w:sz w:val="24"/>
                <w:szCs w:val="24"/>
                <w:highlight w:val="none"/>
              </w:rPr>
              <w:t>≧</w:t>
            </w:r>
            <w:r>
              <w:rPr>
                <w:rFonts w:hint="eastAsia" w:asciiTheme="minorEastAsia" w:hAnsiTheme="minorEastAsia" w:eastAsiaTheme="minorEastAsia" w:cstheme="minorEastAsia"/>
                <w:kern w:val="0"/>
                <w:sz w:val="24"/>
                <w:szCs w:val="24"/>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keepNext w:val="0"/>
              <w:keepLines w:val="0"/>
              <w:pageBreakBefore w:val="0"/>
              <w:widowControl/>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最大扭矩转速 (r/min)</w:t>
            </w:r>
          </w:p>
        </w:tc>
        <w:tc>
          <w:tcPr>
            <w:tcW w:w="4850"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3600-4400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restart"/>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变速器</w:t>
            </w:r>
          </w:p>
        </w:tc>
        <w:tc>
          <w:tcPr>
            <w:tcW w:w="3908" w:type="dxa"/>
            <w:gridSpan w:val="2"/>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型 式</w:t>
            </w:r>
          </w:p>
        </w:tc>
        <w:tc>
          <w:tcPr>
            <w:tcW w:w="4850" w:type="dxa"/>
            <w:vAlign w:val="center"/>
          </w:tcPr>
          <w:p>
            <w:pPr>
              <w:pStyle w:val="22"/>
              <w:keepNext w:val="0"/>
              <w:keepLines w:val="0"/>
              <w:pageBreakBefore w:val="0"/>
              <w:kinsoku/>
              <w:wordWrap/>
              <w:overflowPunct/>
              <w:topLinePunct w:val="0"/>
              <w:bidi w:val="0"/>
              <w:adjustRightInd/>
              <w:snapToGrid/>
              <w:spacing w:line="360" w:lineRule="auto"/>
              <w:ind w:right="-105" w:rightChars="-50"/>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五档全同步，手动MT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pStyle w:val="22"/>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p>
        </w:tc>
        <w:tc>
          <w:tcPr>
            <w:tcW w:w="3908" w:type="dxa"/>
            <w:gridSpan w:val="2"/>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操纵型式</w:t>
            </w:r>
          </w:p>
        </w:tc>
        <w:tc>
          <w:tcPr>
            <w:tcW w:w="4850" w:type="dxa"/>
            <w:vAlign w:val="center"/>
          </w:tcPr>
          <w:p>
            <w:pPr>
              <w:pStyle w:val="22"/>
              <w:keepNext w:val="0"/>
              <w:keepLines w:val="0"/>
              <w:pageBreakBefore w:val="0"/>
              <w:kinsoku/>
              <w:wordWrap/>
              <w:overflowPunct/>
              <w:topLinePunct w:val="0"/>
              <w:bidi w:val="0"/>
              <w:adjustRightInd/>
              <w:snapToGrid/>
              <w:spacing w:line="360" w:lineRule="auto"/>
              <w:ind w:right="-105" w:rightChars="-5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远距离软轴操纵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restart"/>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底盘主要总成</w:t>
            </w:r>
          </w:p>
        </w:tc>
        <w:tc>
          <w:tcPr>
            <w:tcW w:w="3908" w:type="dxa"/>
            <w:gridSpan w:val="2"/>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离合器</w:t>
            </w:r>
          </w:p>
        </w:tc>
        <w:tc>
          <w:tcPr>
            <w:tcW w:w="4850"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单片、干式、膜片弹簧；液压操纵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p>
        </w:tc>
        <w:tc>
          <w:tcPr>
            <w:tcW w:w="3908" w:type="dxa"/>
            <w:gridSpan w:val="2"/>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传动轴</w:t>
            </w:r>
          </w:p>
        </w:tc>
        <w:tc>
          <w:tcPr>
            <w:tcW w:w="4850"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双节开式、三个万向节传动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pStyle w:val="226"/>
              <w:keepNext w:val="0"/>
              <w:keepLines w:val="0"/>
              <w:pageBreakBefore w:val="0"/>
              <w:kinsoku/>
              <w:wordWrap/>
              <w:overflowPunct/>
              <w:topLinePunct w:val="0"/>
              <w:bidi w:val="0"/>
              <w:adjustRightInd/>
              <w:snapToGrid/>
              <w:spacing w:line="360" w:lineRule="auto"/>
              <w:ind w:right="-105" w:firstLine="0" w:firstLineChars="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驱动桥</w:t>
            </w:r>
          </w:p>
        </w:tc>
        <w:tc>
          <w:tcPr>
            <w:tcW w:w="4850"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整体式、冲压焊接桥壳、半浮式半轴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前轴</w:t>
            </w:r>
          </w:p>
        </w:tc>
        <w:tc>
          <w:tcPr>
            <w:tcW w:w="4850"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断开式前轴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悬 架</w:t>
            </w:r>
          </w:p>
        </w:tc>
        <w:tc>
          <w:tcPr>
            <w:tcW w:w="4850" w:type="dxa"/>
            <w:vAlign w:val="center"/>
          </w:tcPr>
          <w:p>
            <w:pPr>
              <w:pStyle w:val="227"/>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扭杆弹簧独立悬挂/钢板弹簧非独立悬架悬挂(-/5)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3908" w:type="dxa"/>
            <w:gridSpan w:val="2"/>
            <w:vAlign w:val="center"/>
          </w:tcPr>
          <w:p>
            <w:pPr>
              <w:pStyle w:val="226"/>
              <w:keepNext w:val="0"/>
              <w:keepLines w:val="0"/>
              <w:pageBreakBefore w:val="0"/>
              <w:kinsoku/>
              <w:wordWrap/>
              <w:overflowPunct/>
              <w:topLinePunct w:val="0"/>
              <w:bidi w:val="0"/>
              <w:adjustRightInd/>
              <w:snapToGrid/>
              <w:spacing w:line="360" w:lineRule="auto"/>
              <w:ind w:right="-105" w:firstLine="0" w:firstLineChars="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转向系型式</w:t>
            </w:r>
          </w:p>
        </w:tc>
        <w:tc>
          <w:tcPr>
            <w:tcW w:w="4850" w:type="dxa"/>
            <w:vAlign w:val="center"/>
          </w:tcPr>
          <w:p>
            <w:pPr>
              <w:pStyle w:val="227"/>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restart"/>
            <w:vAlign w:val="center"/>
          </w:tcPr>
          <w:p>
            <w:pPr>
              <w:pStyle w:val="226"/>
              <w:keepNext w:val="0"/>
              <w:keepLines w:val="0"/>
              <w:pageBreakBefore w:val="0"/>
              <w:kinsoku/>
              <w:wordWrap/>
              <w:overflowPunct/>
              <w:topLinePunct w:val="0"/>
              <w:bidi w:val="0"/>
              <w:adjustRightInd/>
              <w:snapToGrid/>
              <w:spacing w:line="360" w:lineRule="auto"/>
              <w:ind w:right="-105" w:firstLine="0" w:firstLineChars="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制动系</w:t>
            </w: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行车制动系</w:t>
            </w:r>
          </w:p>
        </w:tc>
        <w:tc>
          <w:tcPr>
            <w:tcW w:w="4850"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液压双回路前盘后鼓式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continue"/>
            <w:vAlign w:val="center"/>
          </w:tcPr>
          <w:p>
            <w:pPr>
              <w:pStyle w:val="226"/>
              <w:keepNext w:val="0"/>
              <w:keepLines w:val="0"/>
              <w:pageBreakBefore w:val="0"/>
              <w:kinsoku/>
              <w:wordWrap/>
              <w:overflowPunct/>
              <w:topLinePunct w:val="0"/>
              <w:bidi w:val="0"/>
              <w:adjustRightInd/>
              <w:snapToGrid/>
              <w:spacing w:line="360" w:lineRule="auto"/>
              <w:ind w:right="-105" w:firstLine="0" w:firstLineChars="0"/>
              <w:textAlignment w:val="auto"/>
              <w:rPr>
                <w:rFonts w:hint="eastAsia" w:asciiTheme="minorEastAsia" w:hAnsiTheme="minorEastAsia" w:eastAsiaTheme="minorEastAsia" w:cstheme="minorEastAsia"/>
                <w:sz w:val="24"/>
                <w:szCs w:val="24"/>
                <w:highlight w:val="none"/>
              </w:rPr>
            </w:pPr>
          </w:p>
        </w:tc>
        <w:tc>
          <w:tcPr>
            <w:tcW w:w="2065" w:type="dxa"/>
            <w:vAlign w:val="center"/>
          </w:tcPr>
          <w:p>
            <w:pPr>
              <w:pStyle w:val="227"/>
              <w:keepNext w:val="0"/>
              <w:keepLines w:val="0"/>
              <w:pageBreakBefore w:val="0"/>
              <w:numPr>
                <w:ilvl w:val="0"/>
                <w:numId w:val="0"/>
              </w:numPr>
              <w:kinsoku/>
              <w:wordWrap/>
              <w:overflowPunct/>
              <w:topLinePunct w:val="0"/>
              <w:bidi w:val="0"/>
              <w:adjustRightInd/>
              <w:snapToGrid/>
              <w:spacing w:line="360" w:lineRule="auto"/>
              <w:ind w:right="-105"/>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（ABS）和EBD系统</w:t>
            </w:r>
          </w:p>
        </w:tc>
        <w:tc>
          <w:tcPr>
            <w:tcW w:w="4850" w:type="dxa"/>
            <w:vAlign w:val="center"/>
          </w:tcPr>
          <w:p>
            <w:pPr>
              <w:pStyle w:val="227"/>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安装电子四通道前后轮交叉控制防抱死制动系统（ABS）和EBD系统。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continue"/>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center"/>
              <w:textAlignment w:val="auto"/>
              <w:rPr>
                <w:rFonts w:hint="eastAsia" w:asciiTheme="minorEastAsia" w:hAnsiTheme="minorEastAsia" w:eastAsiaTheme="minorEastAsia" w:cstheme="minorEastAsia"/>
                <w:sz w:val="24"/>
                <w:szCs w:val="24"/>
                <w:highlight w:val="none"/>
              </w:rPr>
            </w:pP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驻车制动系</w:t>
            </w:r>
          </w:p>
        </w:tc>
        <w:tc>
          <w:tcPr>
            <w:tcW w:w="4850" w:type="dxa"/>
            <w:vAlign w:val="center"/>
          </w:tcPr>
          <w:p>
            <w:pPr>
              <w:pStyle w:val="227"/>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机械式手动作用于后轮鼓式制动器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restart"/>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底盘主要</w:t>
            </w:r>
          </w:p>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总成</w:t>
            </w:r>
          </w:p>
        </w:tc>
        <w:tc>
          <w:tcPr>
            <w:tcW w:w="1843" w:type="dxa"/>
            <w:vMerge w:val="restart"/>
            <w:vAlign w:val="center"/>
          </w:tcPr>
          <w:p>
            <w:pPr>
              <w:pStyle w:val="226"/>
              <w:keepNext w:val="0"/>
              <w:keepLines w:val="0"/>
              <w:pageBreakBefore w:val="0"/>
              <w:kinsoku/>
              <w:wordWrap/>
              <w:overflowPunct/>
              <w:topLinePunct w:val="0"/>
              <w:bidi w:val="0"/>
              <w:adjustRightInd/>
              <w:snapToGrid/>
              <w:spacing w:line="360" w:lineRule="auto"/>
              <w:ind w:right="-105" w:firstLine="42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车轮与轮胎</w:t>
            </w: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型    式</w:t>
            </w:r>
          </w:p>
        </w:tc>
        <w:tc>
          <w:tcPr>
            <w:tcW w:w="4850" w:type="dxa"/>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辐板式车轮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continue"/>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轮辋规格</w:t>
            </w:r>
          </w:p>
        </w:tc>
        <w:tc>
          <w:tcPr>
            <w:tcW w:w="4850" w:type="dxa"/>
            <w:vAlign w:val="center"/>
          </w:tcPr>
          <w:p>
            <w:pPr>
              <w:pStyle w:val="227"/>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15×6J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p>
        </w:tc>
        <w:tc>
          <w:tcPr>
            <w:tcW w:w="1843" w:type="dxa"/>
            <w:vMerge w:val="continue"/>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轮胎规格</w:t>
            </w:r>
          </w:p>
        </w:tc>
        <w:tc>
          <w:tcPr>
            <w:tcW w:w="4850" w:type="dxa"/>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195/70R15C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continue"/>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轮胎充气压力</w:t>
            </w:r>
          </w:p>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（前/后）（KPa）</w:t>
            </w:r>
          </w:p>
        </w:tc>
        <w:tc>
          <w:tcPr>
            <w:tcW w:w="4850" w:type="dxa"/>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350/450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restart"/>
            <w:vAlign w:val="center"/>
          </w:tcPr>
          <w:p>
            <w:pPr>
              <w:pStyle w:val="226"/>
              <w:keepNext w:val="0"/>
              <w:keepLines w:val="0"/>
              <w:pageBreakBefore w:val="0"/>
              <w:kinsoku/>
              <w:wordWrap/>
              <w:overflowPunct/>
              <w:topLinePunct w:val="0"/>
              <w:bidi w:val="0"/>
              <w:adjustRightInd/>
              <w:snapToGrid/>
              <w:spacing w:line="360" w:lineRule="auto"/>
              <w:ind w:right="-105" w:firstLine="42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电气设备</w:t>
            </w: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型    式</w:t>
            </w:r>
          </w:p>
        </w:tc>
        <w:tc>
          <w:tcPr>
            <w:tcW w:w="4850" w:type="dxa"/>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整车电压12V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continue"/>
            <w:vAlign w:val="center"/>
          </w:tcPr>
          <w:p>
            <w:pPr>
              <w:pStyle w:val="226"/>
              <w:keepNext w:val="0"/>
              <w:keepLines w:val="0"/>
              <w:pageBreakBefore w:val="0"/>
              <w:kinsoku/>
              <w:wordWrap/>
              <w:overflowPunct/>
              <w:topLinePunct w:val="0"/>
              <w:bidi w:val="0"/>
              <w:adjustRightInd/>
              <w:snapToGrid/>
              <w:spacing w:line="360" w:lineRule="auto"/>
              <w:ind w:right="-105" w:firstLine="420"/>
              <w:jc w:val="center"/>
              <w:textAlignment w:val="auto"/>
              <w:rPr>
                <w:rFonts w:hint="eastAsia" w:asciiTheme="minorEastAsia" w:hAnsiTheme="minorEastAsia" w:eastAsiaTheme="minorEastAsia" w:cstheme="minorEastAsia"/>
                <w:sz w:val="24"/>
                <w:szCs w:val="24"/>
                <w:highlight w:val="none"/>
              </w:rPr>
            </w:pP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蓄 电 池</w:t>
            </w:r>
          </w:p>
        </w:tc>
        <w:tc>
          <w:tcPr>
            <w:tcW w:w="4850" w:type="dxa"/>
            <w:vAlign w:val="center"/>
          </w:tcPr>
          <w:p>
            <w:pPr>
              <w:pStyle w:val="227"/>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1只，60Ah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continue"/>
            <w:vAlign w:val="center"/>
          </w:tcPr>
          <w:p>
            <w:pPr>
              <w:pStyle w:val="226"/>
              <w:keepNext w:val="0"/>
              <w:keepLines w:val="0"/>
              <w:pageBreakBefore w:val="0"/>
              <w:kinsoku/>
              <w:wordWrap/>
              <w:overflowPunct/>
              <w:topLinePunct w:val="0"/>
              <w:bidi w:val="0"/>
              <w:adjustRightInd/>
              <w:snapToGrid/>
              <w:spacing w:line="360" w:lineRule="auto"/>
              <w:ind w:right="-105" w:firstLine="420"/>
              <w:jc w:val="center"/>
              <w:textAlignment w:val="auto"/>
              <w:rPr>
                <w:rFonts w:hint="eastAsia" w:asciiTheme="minorEastAsia" w:hAnsiTheme="minorEastAsia" w:eastAsiaTheme="minorEastAsia" w:cstheme="minorEastAsia"/>
                <w:sz w:val="24"/>
                <w:szCs w:val="24"/>
                <w:highlight w:val="none"/>
              </w:rPr>
            </w:pP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起 动 机</w:t>
            </w:r>
          </w:p>
        </w:tc>
        <w:tc>
          <w:tcPr>
            <w:tcW w:w="4850" w:type="dxa"/>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1843" w:type="dxa"/>
            <w:vMerge w:val="continue"/>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center"/>
              <w:textAlignment w:val="auto"/>
              <w:rPr>
                <w:rFonts w:hint="eastAsia" w:asciiTheme="minorEastAsia" w:hAnsiTheme="minorEastAsia" w:eastAsiaTheme="minorEastAsia" w:cstheme="minorEastAsia"/>
                <w:sz w:val="24"/>
                <w:szCs w:val="24"/>
                <w:highlight w:val="none"/>
              </w:rPr>
            </w:pPr>
          </w:p>
        </w:tc>
        <w:tc>
          <w:tcPr>
            <w:tcW w:w="2065" w:type="dxa"/>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发 电 机</w:t>
            </w:r>
          </w:p>
        </w:tc>
        <w:tc>
          <w:tcPr>
            <w:tcW w:w="4850" w:type="dxa"/>
            <w:vAlign w:val="center"/>
          </w:tcPr>
          <w:p>
            <w:pPr>
              <w:pStyle w:val="227"/>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≥90A/14V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restart"/>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其他配置</w:t>
            </w:r>
          </w:p>
        </w:tc>
        <w:tc>
          <w:tcPr>
            <w:tcW w:w="8758" w:type="dxa"/>
            <w:gridSpan w:val="3"/>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置物盒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020" w:type="dxa"/>
            <w:vMerge w:val="continue"/>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8758" w:type="dxa"/>
            <w:gridSpan w:val="3"/>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电动窗、遥控锁、电动后视镜</w:t>
            </w:r>
          </w:p>
        </w:tc>
      </w:tr>
    </w:tbl>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b/>
          <w:sz w:val="24"/>
          <w:szCs w:val="24"/>
          <w:highlight w:val="none"/>
          <w:shd w:val="pct10" w:color="auto" w:fill="FFFFFF"/>
        </w:rPr>
      </w:pP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b/>
          <w:sz w:val="24"/>
          <w:szCs w:val="24"/>
          <w:highlight w:val="none"/>
          <w:shd w:val="pct10" w:color="auto" w:fill="FFFFFF"/>
        </w:rPr>
      </w:pPr>
      <w:r>
        <w:rPr>
          <w:rFonts w:hint="eastAsia" w:asciiTheme="minorEastAsia" w:hAnsiTheme="minorEastAsia" w:eastAsiaTheme="minorEastAsia" w:cstheme="minorEastAsia"/>
          <w:b/>
          <w:sz w:val="24"/>
          <w:szCs w:val="24"/>
          <w:highlight w:val="none"/>
          <w:shd w:val="pct10" w:color="auto" w:fill="FFFFFF"/>
        </w:rPr>
        <w:t>二、救护车配置表</w:t>
      </w:r>
    </w:p>
    <w:tbl>
      <w:tblPr>
        <w:tblStyle w:val="40"/>
        <w:tblW w:w="9807" w:type="dxa"/>
        <w:jc w:val="center"/>
        <w:tblLayout w:type="fixed"/>
        <w:tblCellMar>
          <w:top w:w="0" w:type="dxa"/>
          <w:left w:w="108" w:type="dxa"/>
          <w:bottom w:w="0" w:type="dxa"/>
          <w:right w:w="108" w:type="dxa"/>
        </w:tblCellMar>
      </w:tblPr>
      <w:tblGrid>
        <w:gridCol w:w="1118"/>
        <w:gridCol w:w="7512"/>
        <w:gridCol w:w="1177"/>
      </w:tblGrid>
      <w:tr>
        <w:tblPrEx>
          <w:tblCellMar>
            <w:top w:w="0" w:type="dxa"/>
            <w:left w:w="108" w:type="dxa"/>
            <w:bottom w:w="0" w:type="dxa"/>
            <w:right w:w="108" w:type="dxa"/>
          </w:tblCellMar>
        </w:tblPrEx>
        <w:trPr>
          <w:trHeight w:val="634"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分项</w:t>
            </w: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功能及特点</w:t>
            </w:r>
          </w:p>
        </w:tc>
        <w:tc>
          <w:tcPr>
            <w:tcW w:w="1177"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数量</w:t>
            </w:r>
          </w:p>
        </w:tc>
      </w:tr>
      <w:tr>
        <w:tblPrEx>
          <w:tblCellMar>
            <w:top w:w="0" w:type="dxa"/>
            <w:left w:w="108" w:type="dxa"/>
            <w:bottom w:w="0" w:type="dxa"/>
            <w:right w:w="108" w:type="dxa"/>
          </w:tblCellMar>
        </w:tblPrEx>
        <w:trPr>
          <w:cantSplit/>
          <w:trHeight w:val="467" w:hRule="atLeast"/>
          <w:jc w:val="center"/>
        </w:trPr>
        <w:tc>
          <w:tcPr>
            <w:tcW w:w="11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警灯警报</w:t>
            </w:r>
          </w:p>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系统</w:t>
            </w:r>
          </w:p>
        </w:tc>
        <w:tc>
          <w:tcPr>
            <w:tcW w:w="751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rPr>
              <w:t>车</w:t>
            </w:r>
            <w:r>
              <w:rPr>
                <w:rFonts w:hint="eastAsia" w:asciiTheme="minorEastAsia" w:hAnsiTheme="minorEastAsia" w:eastAsiaTheme="minorEastAsia" w:cstheme="minorEastAsia"/>
                <w:color w:val="000000"/>
                <w:kern w:val="0"/>
                <w:sz w:val="24"/>
                <w:szCs w:val="24"/>
                <w:highlight w:val="none"/>
              </w:rPr>
              <w:t>顶</w:t>
            </w:r>
            <w:r>
              <w:rPr>
                <w:rFonts w:hint="eastAsia" w:asciiTheme="minorEastAsia" w:hAnsiTheme="minorEastAsia" w:eastAsiaTheme="minorEastAsia" w:cstheme="minorEastAsia"/>
                <w:color w:val="000000"/>
                <w:kern w:val="0"/>
                <w:sz w:val="24"/>
                <w:szCs w:val="24"/>
                <w:highlight w:val="none"/>
                <w:lang w:eastAsia="zh-CN"/>
              </w:rPr>
              <w:t>前端安装长排式</w:t>
            </w:r>
            <w:r>
              <w:rPr>
                <w:rFonts w:hint="eastAsia" w:asciiTheme="minorEastAsia" w:hAnsiTheme="minorEastAsia" w:eastAsiaTheme="minorEastAsia" w:cstheme="minorEastAsia"/>
                <w:color w:val="000000"/>
                <w:kern w:val="0"/>
                <w:sz w:val="24"/>
                <w:szCs w:val="24"/>
                <w:highlight w:val="none"/>
              </w:rPr>
              <w:t>蓝色</w:t>
            </w:r>
            <w:r>
              <w:rPr>
                <w:rFonts w:hint="eastAsia" w:asciiTheme="minorEastAsia" w:hAnsiTheme="minorEastAsia" w:eastAsiaTheme="minorEastAsia" w:cstheme="minorEastAsia"/>
                <w:color w:val="000000"/>
                <w:kern w:val="0"/>
                <w:sz w:val="24"/>
                <w:szCs w:val="24"/>
                <w:highlight w:val="none"/>
                <w:lang w:val="en-US" w:eastAsia="zh-CN"/>
              </w:rPr>
              <w:t>LED警灯</w:t>
            </w:r>
            <w:r>
              <w:rPr>
                <w:rFonts w:hint="eastAsia" w:asciiTheme="minorEastAsia" w:hAnsiTheme="minorEastAsia" w:eastAsiaTheme="minorEastAsia" w:cstheme="minorEastAsia"/>
                <w:color w:val="000000"/>
                <w:kern w:val="0"/>
                <w:sz w:val="24"/>
                <w:szCs w:val="24"/>
                <w:highlight w:val="none"/>
              </w:rPr>
              <w:t>（100W扩音喇叭）</w:t>
            </w:r>
            <w:r>
              <w:rPr>
                <w:rFonts w:hint="eastAsia" w:asciiTheme="minorEastAsia" w:hAnsiTheme="minorEastAsia" w:eastAsiaTheme="minorEastAsia" w:cstheme="minorEastAsia"/>
                <w:color w:val="000000"/>
                <w:kern w:val="0"/>
                <w:sz w:val="24"/>
                <w:szCs w:val="24"/>
                <w:highlight w:val="none"/>
                <w:lang w:eastAsia="zh-CN"/>
              </w:rPr>
              <w:t>，两侧安装长方形蓝色爆闪和白色爆闪</w:t>
            </w:r>
            <w:r>
              <w:rPr>
                <w:rFonts w:hint="eastAsia" w:asciiTheme="minorEastAsia" w:hAnsiTheme="minorEastAsia" w:eastAsiaTheme="minorEastAsia" w:cstheme="minorEastAsia"/>
                <w:color w:val="000000"/>
                <w:kern w:val="0"/>
                <w:sz w:val="24"/>
                <w:szCs w:val="24"/>
                <w:highlight w:val="none"/>
              </w:rPr>
              <w:t>LED警灯</w:t>
            </w:r>
            <w:r>
              <w:rPr>
                <w:rFonts w:hint="eastAsia" w:asciiTheme="minorEastAsia" w:hAnsiTheme="minorEastAsia" w:eastAsiaTheme="minorEastAsia" w:cstheme="minorEastAsia"/>
                <w:color w:val="000000"/>
                <w:kern w:val="0"/>
                <w:sz w:val="24"/>
                <w:szCs w:val="24"/>
                <w:highlight w:val="none"/>
                <w:lang w:eastAsia="zh-CN"/>
              </w:rPr>
              <w:t>各</w:t>
            </w:r>
            <w:r>
              <w:rPr>
                <w:rFonts w:hint="eastAsia" w:asciiTheme="minorEastAsia" w:hAnsiTheme="minorEastAsia" w:eastAsiaTheme="minorEastAsia" w:cstheme="minorEastAsia"/>
                <w:color w:val="000000"/>
                <w:kern w:val="0"/>
                <w:sz w:val="24"/>
                <w:szCs w:val="24"/>
                <w:highlight w:val="none"/>
                <w:lang w:val="en-US" w:eastAsia="zh-CN"/>
              </w:rPr>
              <w:t>2个</w:t>
            </w:r>
            <w:r>
              <w:rPr>
                <w:rFonts w:hint="eastAsia" w:asciiTheme="minorEastAsia" w:hAnsiTheme="minorEastAsia" w:eastAsiaTheme="minorEastAsia" w:cstheme="minorEastAsia"/>
                <w:color w:val="000000"/>
                <w:kern w:val="0"/>
                <w:sz w:val="24"/>
                <w:szCs w:val="24"/>
                <w:highlight w:val="none"/>
                <w:lang w:eastAsia="zh-CN"/>
              </w:rPr>
              <w:t>。</w:t>
            </w:r>
          </w:p>
        </w:tc>
        <w:tc>
          <w:tcPr>
            <w:tcW w:w="1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sz w:val="24"/>
                <w:szCs w:val="24"/>
                <w:highlight w:val="none"/>
              </w:rPr>
              <w:t>驾驶</w:t>
            </w:r>
            <w:r>
              <w:rPr>
                <w:rFonts w:hint="eastAsia" w:asciiTheme="minorEastAsia" w:hAnsiTheme="minorEastAsia" w:eastAsiaTheme="minorEastAsia" w:cstheme="minorEastAsia"/>
                <w:kern w:val="0"/>
                <w:sz w:val="24"/>
                <w:szCs w:val="24"/>
                <w:highlight w:val="none"/>
              </w:rPr>
              <w:t>舱</w:t>
            </w:r>
            <w:r>
              <w:rPr>
                <w:rFonts w:hint="eastAsia" w:asciiTheme="minorEastAsia" w:hAnsiTheme="minorEastAsia" w:eastAsiaTheme="minorEastAsia" w:cstheme="minorEastAsia"/>
                <w:sz w:val="24"/>
                <w:szCs w:val="24"/>
                <w:highlight w:val="none"/>
              </w:rPr>
              <w:t>内安装</w:t>
            </w:r>
            <w:r>
              <w:rPr>
                <w:rFonts w:hint="eastAsia" w:asciiTheme="minorEastAsia" w:hAnsiTheme="minorEastAsia" w:eastAsiaTheme="minorEastAsia" w:cstheme="minorEastAsia"/>
                <w:color w:val="000000"/>
                <w:kern w:val="0"/>
                <w:sz w:val="24"/>
                <w:szCs w:val="24"/>
                <w:highlight w:val="none"/>
              </w:rPr>
              <w:t>警灯、警报控制器及喊话器</w:t>
            </w:r>
            <w:r>
              <w:rPr>
                <w:rFonts w:hint="eastAsia" w:asciiTheme="minorEastAsia" w:hAnsiTheme="minorEastAsia" w:eastAsiaTheme="minorEastAsia" w:cstheme="minorEastAsia"/>
                <w:color w:val="000000"/>
                <w:kern w:val="0"/>
                <w:sz w:val="24"/>
                <w:szCs w:val="24"/>
                <w:highlight w:val="none"/>
                <w:lang w:eastAsia="zh-CN"/>
              </w:rPr>
              <w:t>。</w:t>
            </w:r>
          </w:p>
        </w:tc>
        <w:tc>
          <w:tcPr>
            <w:tcW w:w="1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中隔板</w:t>
            </w: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中隔板</w:t>
            </w:r>
            <w:r>
              <w:rPr>
                <w:rFonts w:hint="eastAsia" w:asciiTheme="minorEastAsia" w:hAnsiTheme="minorEastAsia" w:eastAsiaTheme="minorEastAsia" w:cstheme="minorEastAsia"/>
                <w:kern w:val="0"/>
                <w:sz w:val="24"/>
                <w:szCs w:val="24"/>
                <w:highlight w:val="none"/>
              </w:rPr>
              <w:t>：</w:t>
            </w:r>
            <w:r>
              <w:rPr>
                <w:rFonts w:hint="eastAsia" w:asciiTheme="minorEastAsia" w:hAnsiTheme="minorEastAsia" w:eastAsiaTheme="minorEastAsia" w:cstheme="minorEastAsia"/>
                <w:sz w:val="24"/>
                <w:szCs w:val="24"/>
                <w:highlight w:val="none"/>
              </w:rPr>
              <w:t>将驾驶</w:t>
            </w:r>
            <w:r>
              <w:rPr>
                <w:rFonts w:hint="eastAsia" w:asciiTheme="minorEastAsia" w:hAnsiTheme="minorEastAsia" w:eastAsiaTheme="minorEastAsia" w:cstheme="minorEastAsia"/>
                <w:kern w:val="0"/>
                <w:sz w:val="24"/>
                <w:szCs w:val="24"/>
                <w:highlight w:val="none"/>
              </w:rPr>
              <w:t>舱</w:t>
            </w:r>
            <w:r>
              <w:rPr>
                <w:rFonts w:hint="eastAsia" w:asciiTheme="minorEastAsia" w:hAnsiTheme="minorEastAsia" w:eastAsiaTheme="minorEastAsia" w:cstheme="minorEastAsia"/>
                <w:sz w:val="24"/>
                <w:szCs w:val="24"/>
                <w:highlight w:val="none"/>
              </w:rPr>
              <w:t>与</w:t>
            </w:r>
            <w:r>
              <w:rPr>
                <w:rFonts w:hint="eastAsia" w:asciiTheme="minorEastAsia" w:hAnsiTheme="minorEastAsia" w:eastAsiaTheme="minorEastAsia" w:cstheme="minorEastAsia"/>
                <w:kern w:val="0"/>
                <w:sz w:val="24"/>
                <w:szCs w:val="24"/>
                <w:highlight w:val="none"/>
              </w:rPr>
              <w:t>医疗舱和驾驶舱完全封闭隔开，隔板采用阻燃性复合板材美观整洁，易清洁，耐腐蚀，环保。</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观察窗</w:t>
            </w:r>
            <w:r>
              <w:rPr>
                <w:rFonts w:hint="eastAsia" w:asciiTheme="minorEastAsia" w:hAnsiTheme="minorEastAsia" w:eastAsiaTheme="minorEastAsia" w:cstheme="minorEastAsia"/>
                <w:kern w:val="0"/>
                <w:sz w:val="24"/>
                <w:szCs w:val="24"/>
                <w:highlight w:val="none"/>
              </w:rPr>
              <w:t>：</w:t>
            </w:r>
            <w:r>
              <w:rPr>
                <w:rFonts w:hint="eastAsia" w:asciiTheme="minorEastAsia" w:hAnsiTheme="minorEastAsia" w:eastAsiaTheme="minorEastAsia" w:cstheme="minorEastAsia"/>
                <w:sz w:val="24"/>
                <w:szCs w:val="24"/>
                <w:highlight w:val="none"/>
              </w:rPr>
              <w:t>中</w:t>
            </w:r>
            <w:r>
              <w:rPr>
                <w:rFonts w:hint="eastAsia" w:asciiTheme="minorEastAsia" w:hAnsiTheme="minorEastAsia" w:eastAsiaTheme="minorEastAsia" w:cstheme="minorEastAsia"/>
                <w:kern w:val="0"/>
                <w:sz w:val="24"/>
                <w:szCs w:val="24"/>
                <w:highlight w:val="none"/>
              </w:rPr>
              <w:t>隔板上安装可视玻璃推拉窗</w:t>
            </w:r>
            <w:r>
              <w:rPr>
                <w:rFonts w:hint="eastAsia" w:asciiTheme="minorEastAsia" w:hAnsiTheme="minorEastAsia" w:eastAsiaTheme="minorEastAsia" w:cstheme="minorEastAsia"/>
                <w:kern w:val="0"/>
                <w:sz w:val="24"/>
                <w:szCs w:val="24"/>
                <w:highlight w:val="none"/>
                <w:lang w:eastAsia="zh-CN"/>
              </w:rPr>
              <w:t>。</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restart"/>
            <w:tcBorders>
              <w:top w:val="single" w:color="auto" w:sz="4" w:space="0"/>
              <w:left w:val="single" w:color="auto" w:sz="4" w:space="0"/>
              <w:right w:val="single" w:color="auto" w:sz="4" w:space="0"/>
            </w:tcBorders>
            <w:vAlign w:val="center"/>
          </w:tcPr>
          <w:p>
            <w:pPr>
              <w:pStyle w:val="22"/>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医疗舱</w:t>
            </w: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医疗舱地板：采用阻燃性防水、耐磨的地毯材料，下铺高强度、防腐、抗菌的竹筋板，平整、可清洗。</w:t>
            </w:r>
          </w:p>
        </w:tc>
        <w:tc>
          <w:tcPr>
            <w:tcW w:w="117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top w:val="single" w:color="auto" w:sz="4" w:space="0"/>
              <w:left w:val="single" w:color="auto" w:sz="4" w:space="0"/>
              <w:right w:val="single" w:color="auto" w:sz="4" w:space="0"/>
            </w:tcBorders>
            <w:vAlign w:val="center"/>
          </w:tcPr>
          <w:p>
            <w:pPr>
              <w:pStyle w:val="22"/>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rPr>
              <w:t>医疗舱内饰：采用阻燃性、可清洗材料</w:t>
            </w:r>
            <w:r>
              <w:rPr>
                <w:rFonts w:hint="eastAsia" w:asciiTheme="minorEastAsia" w:hAnsiTheme="minorEastAsia" w:eastAsiaTheme="minorEastAsia" w:cstheme="minorEastAsia"/>
                <w:kern w:val="0"/>
                <w:sz w:val="24"/>
                <w:szCs w:val="24"/>
                <w:highlight w:val="none"/>
                <w:lang w:eastAsia="zh-CN"/>
              </w:rPr>
              <w:t>。</w:t>
            </w:r>
          </w:p>
        </w:tc>
        <w:tc>
          <w:tcPr>
            <w:tcW w:w="117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top w:val="single" w:color="auto" w:sz="4" w:space="0"/>
              <w:left w:val="single" w:color="auto" w:sz="4" w:space="0"/>
              <w:right w:val="single" w:color="auto" w:sz="4" w:space="0"/>
            </w:tcBorders>
            <w:vAlign w:val="center"/>
          </w:tcPr>
          <w:p>
            <w:pPr>
              <w:pStyle w:val="22"/>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医疗器械柜、急救设备储物柜、电气柜：采用阻燃性复合板材美观整洁，易清洁，耐腐蚀，环保，并进行无尖角设计。满足医疗设备置放。</w:t>
            </w:r>
          </w:p>
        </w:tc>
        <w:tc>
          <w:tcPr>
            <w:tcW w:w="117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top w:val="single" w:color="auto" w:sz="4" w:space="0"/>
              <w:left w:val="single" w:color="auto" w:sz="4" w:space="0"/>
              <w:bottom w:val="single" w:color="auto" w:sz="4" w:space="0"/>
              <w:right w:val="single" w:color="auto" w:sz="4" w:space="0"/>
            </w:tcBorders>
            <w:vAlign w:val="center"/>
          </w:tcPr>
          <w:p>
            <w:pPr>
              <w:pStyle w:val="22"/>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医疗舱车窗为半透明设计，便于保障病人隐私。</w:t>
            </w:r>
          </w:p>
        </w:tc>
        <w:tc>
          <w:tcPr>
            <w:tcW w:w="117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5套</w:t>
            </w:r>
          </w:p>
        </w:tc>
      </w:tr>
      <w:tr>
        <w:tblPrEx>
          <w:tblCellMar>
            <w:top w:w="0" w:type="dxa"/>
            <w:left w:w="108" w:type="dxa"/>
            <w:bottom w:w="0" w:type="dxa"/>
            <w:right w:w="108" w:type="dxa"/>
          </w:tblCellMar>
        </w:tblPrEx>
        <w:trPr>
          <w:cantSplit/>
          <w:trHeight w:val="312"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医疗舱换气系统</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医疗舱顶部安装有排气扇，静止状态下，可提升医疗舱内换气次数，保证舱内空气清洁。</w:t>
            </w:r>
          </w:p>
        </w:tc>
        <w:tc>
          <w:tcPr>
            <w:tcW w:w="11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担架系统</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dstrike/>
                <w:color w:val="FF0000"/>
                <w:sz w:val="24"/>
                <w:szCs w:val="24"/>
                <w:highlight w:val="none"/>
                <w:lang w:eastAsia="zh-CN"/>
              </w:rPr>
            </w:pPr>
            <w:r>
              <w:rPr>
                <w:rFonts w:hint="eastAsia" w:asciiTheme="minorEastAsia" w:hAnsiTheme="minorEastAsia" w:eastAsiaTheme="minorEastAsia" w:cstheme="minorEastAsia"/>
                <w:sz w:val="24"/>
                <w:szCs w:val="24"/>
                <w:highlight w:val="none"/>
              </w:rPr>
              <w:t>车内配备一副</w:t>
            </w:r>
            <w:r>
              <w:rPr>
                <w:rFonts w:hint="eastAsia" w:asciiTheme="minorEastAsia" w:hAnsiTheme="minorEastAsia" w:eastAsiaTheme="minorEastAsia" w:cstheme="minorEastAsia"/>
                <w:sz w:val="24"/>
                <w:szCs w:val="24"/>
                <w:highlight w:val="none"/>
                <w:lang w:eastAsia="zh-CN"/>
              </w:rPr>
              <w:t>四</w:t>
            </w:r>
            <w:r>
              <w:rPr>
                <w:rFonts w:hint="eastAsia" w:asciiTheme="minorEastAsia" w:hAnsiTheme="minorEastAsia" w:eastAsiaTheme="minorEastAsia" w:cstheme="minorEastAsia"/>
                <w:sz w:val="24"/>
                <w:szCs w:val="24"/>
                <w:highlight w:val="none"/>
              </w:rPr>
              <w:t>折软担架</w:t>
            </w:r>
            <w:r>
              <w:rPr>
                <w:rFonts w:hint="eastAsia" w:asciiTheme="minorEastAsia" w:hAnsiTheme="minorEastAsia" w:eastAsiaTheme="minorEastAsia" w:cstheme="minorEastAsia"/>
                <w:sz w:val="24"/>
                <w:szCs w:val="24"/>
                <w:highlight w:val="none"/>
                <w:lang w:eastAsia="zh-CN"/>
              </w:rPr>
              <w:t>。</w:t>
            </w:r>
          </w:p>
        </w:tc>
        <w:tc>
          <w:tcPr>
            <w:tcW w:w="11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供氧系统</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氧气瓶：配备</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升钢质</w:t>
            </w:r>
            <w:r>
              <w:rPr>
                <w:rFonts w:hint="eastAsia" w:asciiTheme="minorEastAsia" w:hAnsiTheme="minorEastAsia" w:eastAsiaTheme="minorEastAsia" w:cstheme="minorEastAsia"/>
                <w:sz w:val="24"/>
                <w:szCs w:val="24"/>
                <w:highlight w:val="none"/>
                <w:lang w:eastAsia="zh-CN"/>
              </w:rPr>
              <w:t>。</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个</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配置湿化瓶、压力阀，便于护理病人。</w:t>
            </w:r>
          </w:p>
        </w:tc>
        <w:tc>
          <w:tcPr>
            <w:tcW w:w="1177" w:type="dxa"/>
            <w:tcBorders>
              <w:top w:val="single" w:color="auto" w:sz="4" w:space="0"/>
              <w:left w:val="nil"/>
              <w:bottom w:val="nil"/>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lang w:eastAsia="zh-CN"/>
              </w:rPr>
              <w:t>除颤仪</w:t>
            </w: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AED自动除颤仪。参数要求见附件4</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1套</w:t>
            </w:r>
          </w:p>
        </w:tc>
      </w:tr>
      <w:tr>
        <w:tblPrEx>
          <w:tblCellMar>
            <w:top w:w="0" w:type="dxa"/>
            <w:left w:w="108" w:type="dxa"/>
            <w:bottom w:w="0" w:type="dxa"/>
            <w:right w:w="108" w:type="dxa"/>
          </w:tblCellMar>
        </w:tblPrEx>
        <w:trPr>
          <w:cantSplit/>
          <w:trHeight w:val="312" w:hRule="atLeast"/>
          <w:jc w:val="center"/>
        </w:trPr>
        <w:tc>
          <w:tcPr>
            <w:tcW w:w="111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医疗舱电气系统</w:t>
            </w: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加装的电气系统与底盘车的电气设备系统分开，各个电气系统独立控制。</w:t>
            </w:r>
          </w:p>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1.医疗舱内医疗救护设施的供电系统；</w:t>
            </w:r>
          </w:p>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2.照明、标志灯和警示装置的供电系统。</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220V正弦逆变电源系统：输出功率</w:t>
            </w:r>
            <w:r>
              <w:rPr>
                <w:rFonts w:hint="eastAsia" w:asciiTheme="minorEastAsia" w:hAnsiTheme="minorEastAsia" w:eastAsiaTheme="minorEastAsia" w:cstheme="minorEastAsia"/>
                <w:sz w:val="24"/>
                <w:szCs w:val="24"/>
                <w:highlight w:val="none"/>
                <w:lang w:val="en-US" w:eastAsia="zh-CN"/>
              </w:rPr>
              <w:t>600</w:t>
            </w:r>
            <w:r>
              <w:rPr>
                <w:rFonts w:hint="eastAsia" w:asciiTheme="minorEastAsia" w:hAnsiTheme="minorEastAsia" w:eastAsiaTheme="minorEastAsia" w:cstheme="minorEastAsia"/>
                <w:sz w:val="24"/>
                <w:szCs w:val="24"/>
                <w:highlight w:val="none"/>
              </w:rPr>
              <w:t>W，设有独立开关、接地漏电保护装置以及过载保护装置，为车载医疗设备预留至少2个交流插座、2个直流插座。可保证医疗仪器供电需求。</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医疗舱顶部需安装2个LED照明灯，病人区域照度可不低于300lx。</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中隔板上部安装紫外线消毒灯，具有定时控制功能。</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空调系统</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驾驶舱与医疗舱各自配置独立可调的冷气空调，配备车顶两侧的双风道的人性化设计，可为病人提供舒适的医疗环境</w:t>
            </w:r>
            <w:r>
              <w:rPr>
                <w:rFonts w:hint="eastAsia" w:asciiTheme="minorEastAsia" w:hAnsiTheme="minorEastAsia" w:eastAsiaTheme="minorEastAsia" w:cstheme="minorEastAsia"/>
                <w:sz w:val="24"/>
                <w:szCs w:val="24"/>
                <w:highlight w:val="none"/>
                <w:lang w:eastAsia="zh-CN"/>
              </w:rPr>
              <w:t>。</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配置独立可调的水暖加热系统，安全、环保 。</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通讯系统</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配备前后对讲系统，便于前后舱人员的交流和沟通。</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乘员座椅</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为乘护人员配置了配备</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个乘护人员座椅，驾驶舱均配3点式安全带；医疗舱中，均配2点式安全带，</w:t>
            </w:r>
            <w:r>
              <w:rPr>
                <w:rFonts w:hint="eastAsia" w:asciiTheme="minorEastAsia" w:hAnsiTheme="minorEastAsia" w:eastAsiaTheme="minorEastAsia" w:cstheme="minorEastAsia"/>
                <w:sz w:val="24"/>
                <w:szCs w:val="24"/>
                <w:highlight w:val="none"/>
                <w:lang w:eastAsia="zh-CN"/>
              </w:rPr>
              <w:t>正前方配备</w:t>
            </w:r>
            <w:r>
              <w:rPr>
                <w:rFonts w:hint="eastAsia" w:asciiTheme="minorEastAsia" w:hAnsiTheme="minorEastAsia" w:eastAsiaTheme="minorEastAsia" w:cstheme="minorEastAsia"/>
                <w:sz w:val="24"/>
                <w:szCs w:val="24"/>
                <w:highlight w:val="none"/>
                <w:lang w:val="en-US" w:eastAsia="zh-CN"/>
              </w:rPr>
              <w:t>1个朝后就坐的座椅，</w:t>
            </w:r>
            <w:r>
              <w:rPr>
                <w:rFonts w:hint="eastAsia" w:asciiTheme="minorEastAsia" w:hAnsiTheme="minorEastAsia" w:eastAsiaTheme="minorEastAsia" w:cstheme="minorEastAsia"/>
                <w:sz w:val="24"/>
                <w:szCs w:val="24"/>
                <w:highlight w:val="none"/>
              </w:rPr>
              <w:t>右侧方配备3个朝前就坐的座椅，方便医护人员对患者采取相应的急救措施。</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6套</w:t>
            </w:r>
          </w:p>
        </w:tc>
      </w:tr>
      <w:tr>
        <w:tblPrEx>
          <w:tblCellMar>
            <w:top w:w="0" w:type="dxa"/>
            <w:left w:w="108" w:type="dxa"/>
            <w:bottom w:w="0" w:type="dxa"/>
            <w:right w:w="108" w:type="dxa"/>
          </w:tblCellMar>
        </w:tblPrEx>
        <w:trPr>
          <w:cantSplit/>
          <w:trHeight w:val="312" w:hRule="atLeast"/>
          <w:jc w:val="center"/>
        </w:trPr>
        <w:tc>
          <w:tcPr>
            <w:tcW w:w="11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lang w:eastAsia="zh-CN"/>
              </w:rPr>
              <w:t>车载一体化体检设备</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配置及参数要求见附件</w:t>
            </w:r>
            <w:r>
              <w:rPr>
                <w:rFonts w:hint="eastAsia" w:asciiTheme="minorEastAsia" w:hAnsiTheme="minorEastAsia" w:eastAsiaTheme="minorEastAsia" w:cstheme="minorEastAsia"/>
                <w:sz w:val="24"/>
                <w:szCs w:val="24"/>
                <w:highlight w:val="none"/>
                <w:lang w:val="en-US" w:eastAsia="zh-CN"/>
              </w:rPr>
              <w:t>2</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配置及参数要求见附件2</w:t>
            </w:r>
          </w:p>
        </w:tc>
      </w:tr>
      <w:tr>
        <w:tblPrEx>
          <w:tblCellMar>
            <w:top w:w="0" w:type="dxa"/>
            <w:left w:w="108" w:type="dxa"/>
            <w:bottom w:w="0" w:type="dxa"/>
            <w:right w:w="108" w:type="dxa"/>
          </w:tblCellMar>
        </w:tblPrEx>
        <w:trPr>
          <w:cantSplit/>
          <w:trHeight w:val="312" w:hRule="atLeast"/>
          <w:jc w:val="center"/>
        </w:trPr>
        <w:tc>
          <w:tcPr>
            <w:tcW w:w="11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lang w:eastAsia="zh-CN"/>
              </w:rPr>
              <w:t>急救箱</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配置清单见附件</w:t>
            </w:r>
            <w:r>
              <w:rPr>
                <w:rFonts w:hint="eastAsia" w:asciiTheme="minorEastAsia" w:hAnsiTheme="minorEastAsia" w:eastAsiaTheme="minorEastAsia" w:cstheme="minorEastAsia"/>
                <w:sz w:val="24"/>
                <w:szCs w:val="24"/>
                <w:highlight w:val="none"/>
                <w:lang w:val="en-US" w:eastAsia="zh-CN"/>
              </w:rPr>
              <w:t>3</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1套</w:t>
            </w:r>
          </w:p>
        </w:tc>
      </w:tr>
      <w:tr>
        <w:tblPrEx>
          <w:tblCellMar>
            <w:top w:w="0" w:type="dxa"/>
            <w:left w:w="108" w:type="dxa"/>
            <w:bottom w:w="0" w:type="dxa"/>
            <w:right w:w="108" w:type="dxa"/>
          </w:tblCellMar>
        </w:tblPrEx>
        <w:trPr>
          <w:cantSplit/>
          <w:trHeight w:val="312" w:hRule="atLeast"/>
          <w:jc w:val="center"/>
        </w:trPr>
        <w:tc>
          <w:tcPr>
            <w:tcW w:w="111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其它配置</w:t>
            </w: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驾驶舱与医疗舱各1个1Kg灭火器，便于使用全方位保护。</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2个</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医疗舱配置了污物桶，便于医疗垃圾的集中存放。</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1个</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车顶安装配2个挂钩的车载输液器，保证乘员在行车过程中活动安全。</w:t>
            </w:r>
          </w:p>
        </w:tc>
        <w:tc>
          <w:tcPr>
            <w:tcW w:w="1177" w:type="dxa"/>
            <w:tcBorders>
              <w:top w:val="single" w:color="auto" w:sz="4" w:space="0"/>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1套</w:t>
            </w:r>
          </w:p>
        </w:tc>
      </w:tr>
      <w:tr>
        <w:tblPrEx>
          <w:tblCellMar>
            <w:top w:w="0" w:type="dxa"/>
            <w:left w:w="108" w:type="dxa"/>
            <w:bottom w:w="0" w:type="dxa"/>
            <w:right w:w="108" w:type="dxa"/>
          </w:tblCellMar>
        </w:tblPrEx>
        <w:trPr>
          <w:cantSplit/>
          <w:trHeight w:val="312" w:hRule="atLeast"/>
          <w:jc w:val="center"/>
        </w:trPr>
        <w:tc>
          <w:tcPr>
            <w:tcW w:w="111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kern w:val="0"/>
                <w:sz w:val="24"/>
                <w:szCs w:val="24"/>
                <w:highlight w:val="none"/>
              </w:rPr>
            </w:pPr>
          </w:p>
        </w:tc>
        <w:tc>
          <w:tcPr>
            <w:tcW w:w="7512" w:type="dxa"/>
            <w:tcBorders>
              <w:top w:val="single" w:color="auto" w:sz="4" w:space="0"/>
              <w:left w:val="single" w:color="auto" w:sz="4" w:space="0"/>
              <w:bottom w:val="single" w:color="auto" w:sz="4" w:space="0"/>
              <w:right w:val="single" w:color="auto" w:sz="4" w:space="0"/>
            </w:tcBorders>
            <w:vAlign w:val="center"/>
          </w:tcPr>
          <w:p>
            <w:pPr>
              <w:pStyle w:val="226"/>
              <w:keepNext w:val="0"/>
              <w:keepLines w:val="0"/>
              <w:pageBreakBefore w:val="0"/>
              <w:kinsoku/>
              <w:wordWrap/>
              <w:overflowPunct/>
              <w:topLinePunct w:val="0"/>
              <w:bidi w:val="0"/>
              <w:adjustRightInd/>
              <w:snapToGrid/>
              <w:spacing w:line="360" w:lineRule="auto"/>
              <w:ind w:right="-105" w:firstLine="0" w:firstLine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医疗舱后顶部配置了后射灯，保障了夜间病人上下车的安全。</w:t>
            </w:r>
          </w:p>
        </w:tc>
        <w:tc>
          <w:tcPr>
            <w:tcW w:w="1177" w:type="dxa"/>
            <w:tcBorders>
              <w:top w:val="nil"/>
              <w:left w:val="nil"/>
              <w:bottom w:val="single" w:color="auto" w:sz="4" w:space="0"/>
              <w:right w:val="single" w:color="auto" w:sz="4" w:space="0"/>
            </w:tcBorders>
            <w:vAlign w:val="center"/>
          </w:tcPr>
          <w:p>
            <w:pPr>
              <w:pStyle w:val="228"/>
              <w:keepNext w:val="0"/>
              <w:keepLines w:val="0"/>
              <w:pageBreakBefore w:val="0"/>
              <w:numPr>
                <w:ilvl w:val="0"/>
                <w:numId w:val="0"/>
              </w:numPr>
              <w:kinsoku/>
              <w:wordWrap/>
              <w:overflowPunct/>
              <w:topLinePunct w:val="0"/>
              <w:bidi w:val="0"/>
              <w:adjustRightInd/>
              <w:snapToGrid/>
              <w:spacing w:line="360" w:lineRule="auto"/>
              <w:ind w:right="-105"/>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1个</w:t>
            </w:r>
          </w:p>
        </w:tc>
      </w:tr>
    </w:tbl>
    <w:p>
      <w:pPr>
        <w:pStyle w:val="225"/>
        <w:keepNext w:val="0"/>
        <w:keepLines w:val="0"/>
        <w:pageBreakBefore w:val="0"/>
        <w:kinsoku/>
        <w:wordWrap/>
        <w:overflowPunct/>
        <w:topLinePunct w:val="0"/>
        <w:bidi w:val="0"/>
        <w:adjustRightInd/>
        <w:snapToGrid/>
        <w:spacing w:line="360" w:lineRule="auto"/>
        <w:ind w:firstLine="0" w:firstLineChars="0"/>
        <w:textAlignment w:val="auto"/>
        <w:rPr>
          <w:rFonts w:hint="eastAsia" w:asciiTheme="minorEastAsia" w:hAnsiTheme="minorEastAsia" w:eastAsiaTheme="minorEastAsia" w:cstheme="minorEastAsia"/>
          <w:b/>
          <w:sz w:val="24"/>
          <w:szCs w:val="24"/>
          <w:highlight w:val="none"/>
        </w:rPr>
      </w:pPr>
    </w:p>
    <w:p>
      <w:pPr>
        <w:pStyle w:val="225"/>
        <w:keepNext w:val="0"/>
        <w:keepLines w:val="0"/>
        <w:pageBreakBefore w:val="0"/>
        <w:kinsoku/>
        <w:wordWrap/>
        <w:overflowPunct/>
        <w:topLinePunct w:val="0"/>
        <w:bidi w:val="0"/>
        <w:adjustRightInd/>
        <w:snapToGrid/>
        <w:spacing w:line="360" w:lineRule="auto"/>
        <w:ind w:firstLine="0" w:firstLineChars="0"/>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附件2</w:t>
      </w:r>
    </w:p>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车载</w:t>
      </w:r>
      <w:r>
        <w:rPr>
          <w:rFonts w:hint="eastAsia" w:asciiTheme="minorEastAsia" w:hAnsiTheme="minorEastAsia" w:eastAsiaTheme="minorEastAsia" w:cstheme="minorEastAsia"/>
          <w:b/>
          <w:bCs/>
          <w:sz w:val="24"/>
          <w:szCs w:val="24"/>
          <w:highlight w:val="none"/>
          <w:lang w:eastAsia="zh-CN"/>
        </w:rPr>
        <w:t>一体化体检</w:t>
      </w:r>
      <w:r>
        <w:rPr>
          <w:rFonts w:hint="eastAsia" w:asciiTheme="minorEastAsia" w:hAnsiTheme="minorEastAsia" w:eastAsiaTheme="minorEastAsia" w:cstheme="minorEastAsia"/>
          <w:b/>
          <w:bCs/>
          <w:sz w:val="24"/>
          <w:szCs w:val="24"/>
          <w:highlight w:val="none"/>
        </w:rPr>
        <w:t>设备配置与参数</w:t>
      </w:r>
    </w:p>
    <w:tbl>
      <w:tblPr>
        <w:tblStyle w:val="40"/>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86"/>
        <w:gridCol w:w="709"/>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48" w:type="dxa"/>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FF0000"/>
                <w:sz w:val="24"/>
                <w:szCs w:val="24"/>
                <w:highlight w:val="none"/>
              </w:rPr>
              <w:t xml:space="preserve"> </w:t>
            </w:r>
            <w:r>
              <w:rPr>
                <w:rFonts w:hint="eastAsia" w:asciiTheme="minorEastAsia" w:hAnsiTheme="minorEastAsia" w:eastAsiaTheme="minorEastAsia" w:cstheme="minorEastAsia"/>
                <w:color w:val="000000"/>
                <w:sz w:val="24"/>
                <w:szCs w:val="24"/>
                <w:highlight w:val="none"/>
              </w:rPr>
              <w:t>配置名称</w:t>
            </w: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配置清单</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数量</w:t>
            </w:r>
          </w:p>
        </w:tc>
        <w:tc>
          <w:tcPr>
            <w:tcW w:w="629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产品详细描述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348" w:type="dxa"/>
            <w:vMerge w:val="restart"/>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车载智能一体化体检设备</w:t>
            </w: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体检设备配置</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numPr>
                <w:ilvl w:val="0"/>
                <w:numId w:val="0"/>
              </w:numPr>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全自动血压计</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numPr>
                <w:ilvl w:val="0"/>
                <w:numId w:val="6"/>
              </w:numPr>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脉搏血氧检测仪</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numPr>
                <w:ilvl w:val="0"/>
                <w:numId w:val="6"/>
              </w:numPr>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快速心电图检测仪</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numPr>
                <w:ilvl w:val="0"/>
                <w:numId w:val="6"/>
              </w:numPr>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智能血糖仪</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numPr>
                <w:ilvl w:val="0"/>
                <w:numId w:val="0"/>
              </w:numPr>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以上设备必须配备数据传输通讯接口，使检测数据通过有线和无线数据传输，提供通讯协议和数据解析协议。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工控电脑</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1.工业控制电脑，windows操作系统，能够实现更大的数据承载和功能运用。必须提供</w:t>
            </w:r>
            <w:r>
              <w:rPr>
                <w:rFonts w:hint="eastAsia" w:asciiTheme="minorEastAsia" w:hAnsiTheme="minorEastAsia" w:eastAsiaTheme="minorEastAsia" w:cstheme="minorEastAsia"/>
                <w:sz w:val="24"/>
                <w:szCs w:val="24"/>
                <w:highlight w:val="none"/>
                <w:lang w:eastAsia="zh-CN"/>
              </w:rPr>
              <w:t>有效的</w:t>
            </w:r>
            <w:r>
              <w:rPr>
                <w:rFonts w:hint="eastAsia" w:asciiTheme="minorEastAsia" w:hAnsiTheme="minorEastAsia" w:eastAsiaTheme="minorEastAsia" w:cstheme="minorEastAsia"/>
                <w:sz w:val="24"/>
                <w:szCs w:val="24"/>
                <w:highlight w:val="none"/>
              </w:rPr>
              <w:t>第三方机构检测报告</w:t>
            </w:r>
            <w:r>
              <w:rPr>
                <w:rFonts w:hint="eastAsia" w:asciiTheme="minorEastAsia" w:hAnsiTheme="minorEastAsia" w:eastAsiaTheme="minorEastAsia" w:cstheme="minorEastAsia"/>
                <w:sz w:val="24"/>
                <w:szCs w:val="24"/>
                <w:highlight w:val="none"/>
                <w:lang w:eastAsia="zh-CN"/>
              </w:rPr>
              <w:t>复印件并加盖投标人公章</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color w:val="666666"/>
                <w:sz w:val="24"/>
                <w:szCs w:val="24"/>
                <w:highlight w:val="none"/>
              </w:rPr>
              <w:br w:type="textWrapping"/>
            </w:r>
            <w:r>
              <w:rPr>
                <w:rFonts w:hint="eastAsia" w:asciiTheme="minorEastAsia" w:hAnsiTheme="minorEastAsia" w:eastAsiaTheme="minorEastAsia" w:cstheme="minorEastAsia"/>
                <w:color w:val="000000"/>
                <w:sz w:val="24"/>
                <w:szCs w:val="24"/>
                <w:highlight w:val="none"/>
              </w:rPr>
              <w:t>2、Intel Bay Trail-D J1900 2.0GHz~2.41GHz四核低功耗处理器</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666666"/>
                <w:sz w:val="24"/>
                <w:szCs w:val="24"/>
                <w:highlight w:val="none"/>
              </w:rPr>
              <w:br w:type="textWrapping"/>
            </w:r>
            <w:r>
              <w:rPr>
                <w:rFonts w:hint="eastAsia" w:asciiTheme="minorEastAsia" w:hAnsiTheme="minorEastAsia" w:eastAsiaTheme="minorEastAsia" w:cstheme="minorEastAsia"/>
                <w:color w:val="000000"/>
                <w:sz w:val="24"/>
                <w:szCs w:val="24"/>
                <w:highlight w:val="none"/>
              </w:rPr>
              <w:t>3、支持DDR3L 1600MHz 2GB内存，最大支持8GB。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触摸操作显示屏</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1.响应速度：≤6ms,具有≥1500nits的超高亮度，触摸面板寿命：≥30000000次以上；无故障运行Tip R≤0.8mm。（提供加盖投标人公章的彩色图片以证明）</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 xml:space="preserve"> </w:t>
            </w: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2.分辨率：800*600/32位真彩，亮度与对比度：400cd/㎡5000:1，触摸面板平均无故障时间：工业级电阻式触摸面板，20000小时以上无故障运行；数据输出接口：LAN网络接口。</w:t>
            </w:r>
          </w:p>
          <w:p>
            <w:pPr>
              <w:pStyle w:val="2"/>
              <w:ind w:left="0" w:leftChars="0" w:firstLine="0"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3.触摸操作屏15.6寸。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身份证读卡器</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rPr>
              <w:t>1.设备类型:二代证读卡器</w:t>
            </w:r>
            <w:r>
              <w:rPr>
                <w:rFonts w:hint="eastAsia" w:asciiTheme="minorEastAsia" w:hAnsiTheme="minorEastAsia" w:eastAsiaTheme="minorEastAsia" w:cstheme="minorEastAsia"/>
                <w:color w:val="000000"/>
                <w:sz w:val="24"/>
                <w:szCs w:val="24"/>
                <w:highlight w:val="none"/>
                <w:lang w:eastAsia="zh-CN"/>
              </w:rPr>
              <w:t>。</w:t>
            </w:r>
          </w:p>
          <w:p>
            <w:pPr>
              <w:keepNext w:val="0"/>
              <w:keepLines w:val="0"/>
              <w:pageBreakBefore w:val="0"/>
              <w:widowControl/>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rPr>
              <w:t>2.射频技术:符合ISO14443 Type B标准,以及《GA 450-2003台式居民身份证阅读器通用技术要求》、《1GA450-2003台式居民身份证阅读器通用技术要求第一号修改单(草案)》</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val="en-US" w:eastAsia="zh-CN"/>
              </w:rPr>
              <w:t xml:space="preserve"> </w:t>
            </w:r>
          </w:p>
          <w:p>
            <w:pPr>
              <w:keepNext w:val="0"/>
              <w:keepLines w:val="0"/>
              <w:pageBreakBefore w:val="0"/>
              <w:widowControl/>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rPr>
              <w:t>3.操作</w:t>
            </w:r>
            <w:r>
              <w:rPr>
                <w:rFonts w:hint="eastAsia" w:asciiTheme="minorEastAsia" w:hAnsiTheme="minorEastAsia" w:eastAsiaTheme="minorEastAsia" w:cstheme="minorEastAsia"/>
                <w:color w:val="000000"/>
                <w:sz w:val="24"/>
                <w:szCs w:val="24"/>
                <w:highlight w:val="none"/>
                <w:lang w:eastAsia="zh-CN"/>
              </w:rPr>
              <w:t>系统：</w:t>
            </w:r>
            <w:r>
              <w:rPr>
                <w:rFonts w:hint="eastAsia" w:asciiTheme="minorEastAsia" w:hAnsiTheme="minorEastAsia" w:eastAsiaTheme="minorEastAsia" w:cstheme="minorEastAsia"/>
                <w:color w:val="000000"/>
                <w:sz w:val="24"/>
                <w:szCs w:val="24"/>
                <w:highlight w:val="none"/>
              </w:rPr>
              <w:t>WIN98/2000/XP/Win7/NT/UNIX/LINUX/</w:t>
            </w: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"http://detail.zol.com.cn/cell_phone_index/subcate57_list_s1398_1.html"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color w:val="000000"/>
                <w:sz w:val="24"/>
                <w:szCs w:val="24"/>
                <w:highlight w:val="none"/>
              </w:rPr>
              <w:t>Android</w:t>
            </w:r>
            <w:r>
              <w:rPr>
                <w:rFonts w:hint="eastAsia" w:asciiTheme="minorEastAsia" w:hAnsiTheme="minorEastAsia" w:eastAsiaTheme="minorEastAsia" w:cstheme="minorEastAsia"/>
                <w:color w:val="000000"/>
                <w:sz w:val="24"/>
                <w:szCs w:val="24"/>
                <w:highlight w:val="none"/>
              </w:rPr>
              <w:fldChar w:fldCharType="end"/>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车载自助体检智能体检设备结构要求</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该设备可收藏固定于柜体内，必要时可携带入户使用，提高使用效率。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心电图数字化网络工作站软件</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保证心电图检测的稳定性安全性，必须提供车载心电图数字化网络工作站。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1348" w:type="dxa"/>
            <w:vMerge w:val="continue"/>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智能医疗体检车系统</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1、软件性能要求：可根据用户要求，使用身份证、手机号、社保卡、条形码、IC卡等方式登录。后台具有可选登录方式的列表窗口，体现该条款的所有登录方式。</w:t>
            </w:r>
          </w:p>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2、软件功能模块包括：检测者登记、检测生理数据采集、检测者检测项目进度显示、检查者自助查询台、检测报告管理、查询统计、系统维护、系统升级拓展、系统兼容等。</w:t>
            </w:r>
          </w:p>
          <w:p>
            <w:pPr>
              <w:pStyle w:val="2"/>
              <w:ind w:left="0" w:leftChars="0" w:firstLine="0"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3.微信端居民个人健康服务系统，用户可以通过微信端查询自己的体检数据。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48" w:type="dxa"/>
            <w:vMerge w:val="restart"/>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p>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软件要求</w:t>
            </w: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信息安全证明</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车载智能一体化体检设备</w:t>
            </w:r>
            <w:r>
              <w:rPr>
                <w:rFonts w:hint="eastAsia" w:asciiTheme="minorEastAsia" w:hAnsiTheme="minorEastAsia" w:eastAsiaTheme="minorEastAsia" w:cstheme="minorEastAsia"/>
                <w:sz w:val="24"/>
                <w:szCs w:val="24"/>
                <w:highlight w:val="none"/>
              </w:rPr>
              <w:t>必须通过信息安全测评，并提供</w:t>
            </w:r>
            <w:r>
              <w:rPr>
                <w:rFonts w:hint="eastAsia" w:asciiTheme="minorEastAsia" w:hAnsiTheme="minorEastAsia" w:eastAsiaTheme="minorEastAsia" w:cstheme="minorEastAsia"/>
                <w:sz w:val="24"/>
                <w:szCs w:val="24"/>
                <w:highlight w:val="none"/>
                <w:lang w:eastAsia="zh-CN"/>
              </w:rPr>
              <w:t>有效的</w:t>
            </w:r>
            <w:r>
              <w:rPr>
                <w:rFonts w:hint="eastAsia" w:asciiTheme="minorEastAsia" w:hAnsiTheme="minorEastAsia" w:eastAsiaTheme="minorEastAsia" w:cstheme="minorEastAsia"/>
                <w:sz w:val="24"/>
                <w:szCs w:val="24"/>
                <w:highlight w:val="none"/>
              </w:rPr>
              <w:t>信息安全测评报告</w:t>
            </w:r>
            <w:r>
              <w:rPr>
                <w:rFonts w:hint="eastAsia" w:asciiTheme="minorEastAsia" w:hAnsiTheme="minorEastAsia" w:eastAsiaTheme="minorEastAsia" w:cstheme="minorEastAsia"/>
                <w:sz w:val="24"/>
                <w:szCs w:val="24"/>
                <w:highlight w:val="none"/>
                <w:lang w:eastAsia="zh-CN"/>
              </w:rPr>
              <w:t>复印件并加盖投标人公章</w:t>
            </w:r>
            <w:r>
              <w:rPr>
                <w:rFonts w:hint="eastAsia" w:asciiTheme="minorEastAsia" w:hAnsiTheme="minorEastAsia" w:eastAsiaTheme="minorEastAsia" w:cstheme="minor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福建省基层公卫平台对接和维护</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对接福建省基层公共卫生平台，并能实现体检数据自动上传，提供双方系统已经对接完成并能正常使用的证明，必须提供</w:t>
            </w:r>
            <w:r>
              <w:rPr>
                <w:rFonts w:hint="eastAsia" w:asciiTheme="minorEastAsia" w:hAnsiTheme="minorEastAsia" w:eastAsiaTheme="minorEastAsia" w:cstheme="minorEastAsia"/>
                <w:sz w:val="24"/>
                <w:szCs w:val="24"/>
                <w:highlight w:val="none"/>
                <w:lang w:eastAsia="zh-CN"/>
              </w:rPr>
              <w:t>对接基卫系统</w:t>
            </w:r>
            <w:r>
              <w:rPr>
                <w:rFonts w:hint="eastAsia" w:asciiTheme="minorEastAsia" w:hAnsiTheme="minorEastAsia" w:eastAsiaTheme="minorEastAsia" w:cstheme="minorEastAsia"/>
                <w:sz w:val="24"/>
                <w:szCs w:val="24"/>
                <w:highlight w:val="none"/>
              </w:rPr>
              <w:t>双方合同和双方软件对接完成且能正常数据传输的验收报告。（如果涉及收费必须提供支付凭证等资料。）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Merge w:val="continue"/>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p>
        </w:tc>
        <w:tc>
          <w:tcPr>
            <w:tcW w:w="1486"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软件著作权证书</w:t>
            </w:r>
          </w:p>
        </w:tc>
        <w:tc>
          <w:tcPr>
            <w:tcW w:w="709" w:type="dxa"/>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1套</w:t>
            </w:r>
          </w:p>
        </w:tc>
        <w:tc>
          <w:tcPr>
            <w:tcW w:w="6296" w:type="dxa"/>
            <w:vAlign w:val="top"/>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sz w:val="24"/>
                <w:szCs w:val="24"/>
                <w:highlight w:val="none"/>
              </w:rPr>
              <w:t>投标人必须提供提供智能体检车系统自主知识产权的同名称软件著作权证书，或同名称软件著作权证书及该软件生产企业的授权使用证书。</w:t>
            </w:r>
          </w:p>
        </w:tc>
      </w:tr>
    </w:tbl>
    <w:p>
      <w:pPr>
        <w:rPr>
          <w:rFonts w:hint="eastAsia" w:asciiTheme="minorEastAsia" w:hAnsiTheme="minorEastAsia" w:eastAsiaTheme="minorEastAsia" w:cstheme="minorEastAsia"/>
          <w:b/>
          <w:sz w:val="24"/>
          <w:szCs w:val="24"/>
          <w:highlight w:val="none"/>
        </w:rPr>
      </w:pPr>
    </w:p>
    <w:p>
      <w:pPr>
        <w:pStyle w:val="225"/>
        <w:keepNext w:val="0"/>
        <w:keepLines w:val="0"/>
        <w:pageBreakBefore w:val="0"/>
        <w:kinsoku/>
        <w:wordWrap/>
        <w:overflowPunct/>
        <w:topLinePunct w:val="0"/>
        <w:bidi w:val="0"/>
        <w:adjustRightInd/>
        <w:snapToGrid/>
        <w:spacing w:line="360" w:lineRule="auto"/>
        <w:ind w:firstLine="0" w:firstLineChars="0"/>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附件3</w:t>
      </w:r>
    </w:p>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
          <w:bCs w:val="0"/>
          <w:sz w:val="24"/>
          <w:szCs w:val="24"/>
          <w:highlight w:val="none"/>
        </w:rPr>
      </w:pPr>
      <w:r>
        <w:rPr>
          <w:rFonts w:hint="eastAsia" w:asciiTheme="minorEastAsia" w:hAnsiTheme="minorEastAsia" w:eastAsiaTheme="minorEastAsia" w:cstheme="minorEastAsia"/>
          <w:b/>
          <w:bCs w:val="0"/>
          <w:sz w:val="24"/>
          <w:szCs w:val="24"/>
          <w:highlight w:val="none"/>
        </w:rPr>
        <w:t>车载急救箱配置清单</w:t>
      </w:r>
    </w:p>
    <w:tbl>
      <w:tblPr>
        <w:tblStyle w:val="40"/>
        <w:tblW w:w="9730" w:type="dxa"/>
        <w:jc w:val="center"/>
        <w:tblLayout w:type="fixed"/>
        <w:tblCellMar>
          <w:top w:w="0" w:type="dxa"/>
          <w:left w:w="108" w:type="dxa"/>
          <w:bottom w:w="0" w:type="dxa"/>
          <w:right w:w="108" w:type="dxa"/>
        </w:tblCellMar>
      </w:tblPr>
      <w:tblGrid>
        <w:gridCol w:w="815"/>
        <w:gridCol w:w="3165"/>
        <w:gridCol w:w="2883"/>
        <w:gridCol w:w="2867"/>
      </w:tblGrid>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序号</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名称</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规格与型号</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数量</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人工呼吸器</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一次性</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1套</w:t>
            </w:r>
          </w:p>
        </w:tc>
      </w:tr>
      <w:tr>
        <w:tblPrEx>
          <w:tblCellMar>
            <w:top w:w="0" w:type="dxa"/>
            <w:left w:w="108" w:type="dxa"/>
            <w:bottom w:w="0" w:type="dxa"/>
            <w:right w:w="108" w:type="dxa"/>
          </w:tblCellMar>
        </w:tblPrEx>
        <w:trPr>
          <w:trHeight w:val="237"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口对口呼吸面膜</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2个</w:t>
            </w:r>
          </w:p>
        </w:tc>
      </w:tr>
      <w:tr>
        <w:tblPrEx>
          <w:tblCellMar>
            <w:top w:w="0" w:type="dxa"/>
            <w:left w:w="108" w:type="dxa"/>
            <w:bottom w:w="0" w:type="dxa"/>
            <w:right w:w="108" w:type="dxa"/>
          </w:tblCellMar>
        </w:tblPrEx>
        <w:trPr>
          <w:trHeight w:val="234"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口咽通气道</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8#、9#</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4个</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血压表</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表式</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1套</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听诊器</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单用</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1套</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体温计</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水银</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1支</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7</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手动吸引器</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R型</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1套</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8</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麻醉喉镜</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一次性</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1套</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9</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开口器</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丁字式</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1把</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10</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舌钳</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17cm</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1支</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压舌板</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一次性</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3把</w:t>
            </w:r>
          </w:p>
        </w:tc>
      </w:tr>
      <w:tr>
        <w:tblPrEx>
          <w:tblCellMar>
            <w:top w:w="0" w:type="dxa"/>
            <w:left w:w="108" w:type="dxa"/>
            <w:bottom w:w="0" w:type="dxa"/>
            <w:right w:w="108" w:type="dxa"/>
          </w:tblCellMar>
        </w:tblPrEx>
        <w:trPr>
          <w:trHeight w:val="176"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12</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一次性气管插管</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3．4．7．8</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4条</w:t>
            </w:r>
          </w:p>
        </w:tc>
      </w:tr>
      <w:tr>
        <w:tblPrEx>
          <w:tblCellMar>
            <w:top w:w="0" w:type="dxa"/>
            <w:left w:w="108" w:type="dxa"/>
            <w:bottom w:w="0" w:type="dxa"/>
            <w:right w:w="108" w:type="dxa"/>
          </w:tblCellMar>
        </w:tblPrEx>
        <w:trPr>
          <w:trHeight w:val="210"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13</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气管插管固定器</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1个</w:t>
            </w:r>
          </w:p>
        </w:tc>
      </w:tr>
      <w:tr>
        <w:tblPrEx>
          <w:tblCellMar>
            <w:top w:w="0" w:type="dxa"/>
            <w:left w:w="108" w:type="dxa"/>
            <w:bottom w:w="0" w:type="dxa"/>
            <w:right w:w="108" w:type="dxa"/>
          </w:tblCellMar>
        </w:tblPrEx>
        <w:trPr>
          <w:trHeight w:val="22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14</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压缩纱布块</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50*80cm</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2包</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15</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医用纱布片</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7.5*7.5cm</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10片</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16</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透气胶带</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1.25*200cm</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2卷</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17</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医用手套</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7或7.5号</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2付</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18</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酒精棉片</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5*5cm</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10片</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19</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碘药水棒</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5支装/片</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4板</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20</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剪刀</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1把</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21</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镊子</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1把</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22</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手电筒</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笔式</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1把</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23</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止血钳</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1把</w:t>
            </w:r>
          </w:p>
        </w:tc>
      </w:tr>
      <w:tr>
        <w:tblPrEx>
          <w:tblCellMar>
            <w:top w:w="0" w:type="dxa"/>
            <w:left w:w="108" w:type="dxa"/>
            <w:bottom w:w="0" w:type="dxa"/>
            <w:right w:w="108" w:type="dxa"/>
          </w:tblCellMar>
        </w:tblPrEx>
        <w:trPr>
          <w:trHeight w:val="239"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24</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急救手册</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1本</w:t>
            </w:r>
          </w:p>
        </w:tc>
      </w:tr>
      <w:tr>
        <w:tblPrEx>
          <w:tblCellMar>
            <w:top w:w="0" w:type="dxa"/>
            <w:left w:w="108" w:type="dxa"/>
            <w:bottom w:w="0" w:type="dxa"/>
            <w:right w:w="108" w:type="dxa"/>
          </w:tblCellMar>
        </w:tblPrEx>
        <w:trPr>
          <w:trHeight w:val="234" w:hRule="atLeast"/>
          <w:jc w:val="center"/>
        </w:trPr>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25</w:t>
            </w:r>
          </w:p>
        </w:tc>
        <w:tc>
          <w:tcPr>
            <w:tcW w:w="31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提箱规格</w:t>
            </w:r>
          </w:p>
        </w:tc>
        <w:tc>
          <w:tcPr>
            <w:tcW w:w="2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30</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bCs/>
                <w:sz w:val="24"/>
                <w:szCs w:val="24"/>
                <w:highlight w:val="none"/>
                <w:lang w:val="en-US" w:eastAsia="zh-CN"/>
              </w:rPr>
              <w:t>23</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bCs/>
                <w:sz w:val="24"/>
                <w:szCs w:val="24"/>
                <w:highlight w:val="none"/>
                <w:lang w:val="en-US" w:eastAsia="zh-CN"/>
              </w:rPr>
              <w:t>13c</w:t>
            </w:r>
            <w:r>
              <w:rPr>
                <w:rFonts w:hint="eastAsia" w:asciiTheme="minorEastAsia" w:hAnsiTheme="minorEastAsia" w:eastAsiaTheme="minorEastAsia" w:cstheme="minorEastAsia"/>
                <w:bCs/>
                <w:sz w:val="24"/>
                <w:szCs w:val="24"/>
                <w:highlight w:val="none"/>
              </w:rPr>
              <w:t>m</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1套</w:t>
            </w:r>
          </w:p>
        </w:tc>
      </w:tr>
    </w:tbl>
    <w:p>
      <w:pPr>
        <w:rPr>
          <w:rFonts w:hint="eastAsia" w:ascii="宋体" w:hAnsi="宋体" w:cs="宋体"/>
          <w:b/>
          <w:bCs/>
          <w:color w:val="auto"/>
          <w:spacing w:val="0"/>
          <w:sz w:val="24"/>
          <w:szCs w:val="24"/>
          <w:highlight w:val="none"/>
          <w:lang w:eastAsia="zh-CN"/>
        </w:rPr>
      </w:pPr>
    </w:p>
    <w:p>
      <w:pPr>
        <w:pStyle w:val="36"/>
        <w:keepNext w:val="0"/>
        <w:keepLines w:val="0"/>
        <w:pageBreakBefore w:val="0"/>
        <w:widowControl/>
        <w:numPr>
          <w:ilvl w:val="0"/>
          <w:numId w:val="0"/>
        </w:numPr>
        <w:suppressLineNumbers w:val="0"/>
        <w:kinsoku/>
        <w:overflowPunct/>
        <w:topLinePunct w:val="0"/>
        <w:autoSpaceDE/>
        <w:autoSpaceDN/>
        <w:bidi w:val="0"/>
        <w:adjustRightInd/>
        <w:snapToGrid/>
        <w:spacing w:before="0" w:beforeLines="0" w:beforeAutospacing="0" w:after="0" w:afterLines="0" w:afterAutospacing="0" w:line="360" w:lineRule="auto"/>
        <w:ind w:leftChars="0" w:right="0" w:rightChars="0"/>
        <w:textAlignment w:val="auto"/>
        <w:outlineLvl w:val="9"/>
        <w:rPr>
          <w:rFonts w:hint="eastAsia" w:ascii="宋体" w:hAnsi="宋体" w:cs="宋体"/>
          <w:b/>
          <w:bCs/>
          <w:color w:val="auto"/>
          <w:spacing w:val="0"/>
          <w:sz w:val="24"/>
          <w:szCs w:val="24"/>
          <w:highlight w:val="none"/>
          <w:lang w:val="en-US" w:eastAsia="zh-CN"/>
        </w:rPr>
      </w:pPr>
      <w:r>
        <w:rPr>
          <w:rFonts w:hint="eastAsia" w:ascii="宋体" w:hAnsi="宋体" w:cs="宋体"/>
          <w:b/>
          <w:bCs/>
          <w:color w:val="auto"/>
          <w:spacing w:val="0"/>
          <w:sz w:val="24"/>
          <w:szCs w:val="24"/>
          <w:highlight w:val="none"/>
          <w:lang w:eastAsia="zh-CN"/>
        </w:rPr>
        <w:t>附件</w:t>
      </w:r>
      <w:r>
        <w:rPr>
          <w:rFonts w:hint="eastAsia" w:ascii="宋体" w:hAnsi="宋体" w:cs="宋体"/>
          <w:b/>
          <w:bCs/>
          <w:color w:val="auto"/>
          <w:spacing w:val="0"/>
          <w:sz w:val="24"/>
          <w:szCs w:val="24"/>
          <w:highlight w:val="none"/>
          <w:lang w:val="en-US" w:eastAsia="zh-CN"/>
        </w:rPr>
        <w:t xml:space="preserve">4  </w:t>
      </w:r>
    </w:p>
    <w:p>
      <w:pPr>
        <w:pStyle w:val="36"/>
        <w:keepNext w:val="0"/>
        <w:keepLines w:val="0"/>
        <w:pageBreakBefore w:val="0"/>
        <w:widowControl/>
        <w:numPr>
          <w:ilvl w:val="0"/>
          <w:numId w:val="0"/>
        </w:numPr>
        <w:suppressLineNumbers w:val="0"/>
        <w:kinsoku/>
        <w:overflowPunct/>
        <w:topLinePunct w:val="0"/>
        <w:autoSpaceDE/>
        <w:autoSpaceDN/>
        <w:bidi w:val="0"/>
        <w:adjustRightInd/>
        <w:snapToGrid/>
        <w:spacing w:before="0" w:beforeLines="0" w:beforeAutospacing="0" w:after="0" w:afterLines="0" w:afterAutospacing="0" w:line="360" w:lineRule="auto"/>
        <w:ind w:leftChars="0" w:right="0" w:rightChars="0"/>
        <w:jc w:val="center"/>
        <w:textAlignment w:val="auto"/>
        <w:outlineLvl w:val="9"/>
        <w:rPr>
          <w:rFonts w:hint="default" w:ascii="宋体" w:hAnsi="宋体" w:cs="宋体"/>
          <w:b/>
          <w:bCs/>
          <w:color w:val="auto"/>
          <w:spacing w:val="0"/>
          <w:sz w:val="24"/>
          <w:szCs w:val="24"/>
          <w:highlight w:val="none"/>
          <w:lang w:val="en-US" w:eastAsia="zh-CN"/>
        </w:rPr>
      </w:pPr>
      <w:r>
        <w:rPr>
          <w:rFonts w:hint="eastAsia" w:asciiTheme="minorEastAsia" w:hAnsiTheme="minorEastAsia" w:eastAsiaTheme="minorEastAsia" w:cstheme="minorEastAsia"/>
          <w:b/>
          <w:color w:val="000000"/>
          <w:kern w:val="0"/>
          <w:sz w:val="24"/>
          <w:szCs w:val="24"/>
          <w:highlight w:val="none"/>
          <w:lang w:bidi="ar"/>
        </w:rPr>
        <w:t>AED技术</w:t>
      </w:r>
      <w:r>
        <w:rPr>
          <w:rFonts w:hint="eastAsia" w:asciiTheme="minorEastAsia" w:hAnsiTheme="minorEastAsia" w:eastAsiaTheme="minorEastAsia" w:cstheme="minorEastAsia"/>
          <w:b/>
          <w:color w:val="000000"/>
          <w:kern w:val="0"/>
          <w:sz w:val="24"/>
          <w:szCs w:val="24"/>
          <w:highlight w:val="none"/>
          <w:lang w:eastAsia="zh-CN" w:bidi="ar"/>
        </w:rPr>
        <w:t>参数要求</w:t>
      </w:r>
    </w:p>
    <w:tbl>
      <w:tblPr>
        <w:tblStyle w:val="40"/>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1.1物理规格/性能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1.1.1整机重量（含电池）≤2.6kg。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1.1.2设备具备便携把手，具备高便携性。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1.1.3抗冲击/跌落性能：具备优异的抗冲击/跌落性能，机器六面均可承受≥1.5 m跌落冲击。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1.1.4防尘防水级别：设备具有良好的防尘防水设计，防尘防水级别IP55，需提供证明材料。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Style w:val="230"/>
                <w:rFonts w:hint="eastAsia" w:asciiTheme="minorEastAsia" w:hAnsiTheme="minorEastAsia" w:eastAsiaTheme="minorEastAsia" w:cstheme="minorEastAsia"/>
                <w:sz w:val="24"/>
                <w:szCs w:val="24"/>
                <w:highlight w:val="none"/>
                <w:lang w:val="en-US" w:eastAsia="zh-CN" w:bidi="ar"/>
              </w:rPr>
              <w:t>1.1.5工作温度范围至少满足 -5</w:t>
            </w:r>
            <w:r>
              <w:rPr>
                <w:rStyle w:val="231"/>
                <w:rFonts w:hint="eastAsia" w:asciiTheme="minorEastAsia" w:hAnsiTheme="minorEastAsia" w:eastAsiaTheme="minorEastAsia" w:cstheme="minorEastAsia"/>
                <w:sz w:val="24"/>
                <w:szCs w:val="24"/>
                <w:highlight w:val="none"/>
                <w:lang w:val="en-US" w:eastAsia="zh-CN" w:bidi="ar"/>
              </w:rPr>
              <w:t>º</w:t>
            </w:r>
            <w:r>
              <w:rPr>
                <w:rStyle w:val="230"/>
                <w:rFonts w:hint="eastAsia" w:asciiTheme="minorEastAsia" w:hAnsiTheme="minorEastAsia" w:eastAsiaTheme="minorEastAsia" w:cstheme="minorEastAsia"/>
                <w:sz w:val="24"/>
                <w:szCs w:val="24"/>
                <w:highlight w:val="none"/>
                <w:lang w:val="en-US" w:eastAsia="zh-CN" w:bidi="ar"/>
              </w:rPr>
              <w:t>C ～ 50</w:t>
            </w:r>
            <w:r>
              <w:rPr>
                <w:rStyle w:val="231"/>
                <w:rFonts w:hint="eastAsia" w:asciiTheme="minorEastAsia" w:hAnsiTheme="minorEastAsia" w:eastAsiaTheme="minorEastAsia" w:cstheme="minorEastAsia"/>
                <w:sz w:val="24"/>
                <w:szCs w:val="24"/>
                <w:highlight w:val="none"/>
                <w:lang w:val="en-US" w:eastAsia="zh-CN" w:bidi="ar"/>
              </w:rPr>
              <w:t>º</w:t>
            </w:r>
            <w:r>
              <w:rPr>
                <w:rStyle w:val="230"/>
                <w:rFonts w:hint="eastAsia" w:asciiTheme="minorEastAsia" w:hAnsiTheme="minorEastAsia" w:eastAsiaTheme="minorEastAsia" w:cstheme="minorEastAsia"/>
                <w:sz w:val="24"/>
                <w:szCs w:val="24"/>
                <w:highlight w:val="none"/>
                <w:lang w:val="en-US" w:eastAsia="zh-CN" w:bidi="ar"/>
              </w:rPr>
              <w:t>C，且从室温环境下进入-20</w:t>
            </w:r>
            <w:r>
              <w:rPr>
                <w:rStyle w:val="231"/>
                <w:rFonts w:hint="eastAsia" w:asciiTheme="minorEastAsia" w:hAnsiTheme="minorEastAsia" w:eastAsiaTheme="minorEastAsia" w:cstheme="minorEastAsia"/>
                <w:sz w:val="24"/>
                <w:szCs w:val="24"/>
                <w:highlight w:val="none"/>
                <w:lang w:val="en-US" w:eastAsia="zh-CN" w:bidi="ar"/>
              </w:rPr>
              <w:t>º</w:t>
            </w:r>
            <w:r>
              <w:rPr>
                <w:rStyle w:val="230"/>
                <w:rFonts w:hint="eastAsia" w:asciiTheme="minorEastAsia" w:hAnsiTheme="minorEastAsia" w:eastAsiaTheme="minorEastAsia" w:cstheme="minorEastAsia"/>
                <w:sz w:val="24"/>
                <w:szCs w:val="24"/>
                <w:highlight w:val="none"/>
                <w:lang w:val="en-US" w:eastAsia="zh-CN" w:bidi="ar"/>
              </w:rPr>
              <w:t>C 环境后，至少能工作60分钟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1.1.6工作湿度范围至少满足 0% ～ 95% 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1.1.7工作海拔高度（大气压力）范围：-381 m ～ +4575 m.（57.0 kPa ～ 106.2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1.2. 除颤性能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1.2.1采用双相波技术，双相指数截断（BTE）波形，波形参数可根据病人阻抗进行自动补偿。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1.2.2输出能量：成人最大能量可支持360J。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1.2.3从开机到200J放电准备就绪用时＜7s。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1.2.4开始AED分析到200J放电准备就绪时间＜5s。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1.3.除颤电极片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1.3.1类型：提供与机器配套的电极片，要有明显的指示粘贴部位标记，防止粘贴错误，粘贴无效时有语音提示。备用状态时电极片不可裸露，取用AED过程中不得散落。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1.3.2有效期：≧5年。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1.3.3在待机状态，电极片与主机预先连接，节省了开机后插入电极片步骤，提高抢救效率。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1.3.4电极片上具有电极片粘贴方式示意图。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auto"/>
                <w:sz w:val="24"/>
                <w:szCs w:val="24"/>
                <w:highlight w:val="none"/>
                <w:u w:val="none"/>
              </w:rPr>
            </w:pPr>
            <w:r>
              <w:rPr>
                <w:rStyle w:val="230"/>
                <w:rFonts w:hint="eastAsia" w:asciiTheme="minorEastAsia" w:hAnsiTheme="minorEastAsia" w:eastAsiaTheme="minorEastAsia" w:cstheme="minorEastAsia"/>
                <w:color w:val="auto"/>
                <w:sz w:val="24"/>
                <w:szCs w:val="24"/>
                <w:highlight w:val="none"/>
                <w:lang w:val="en-US" w:eastAsia="zh-CN" w:bidi="ar"/>
              </w:rPr>
              <w:t>1.3.5具有电极片有效期自检功能和</w:t>
            </w:r>
            <w:r>
              <w:rPr>
                <w:rStyle w:val="232"/>
                <w:rFonts w:hint="eastAsia" w:asciiTheme="minorEastAsia" w:hAnsiTheme="minorEastAsia" w:eastAsiaTheme="minorEastAsia" w:cstheme="minorEastAsia"/>
                <w:color w:val="auto"/>
                <w:sz w:val="24"/>
                <w:szCs w:val="24"/>
                <w:highlight w:val="none"/>
                <w:lang w:val="en-US" w:eastAsia="zh-CN" w:bidi="ar"/>
              </w:rPr>
              <w:t>电极片过期报警提示。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auto"/>
                <w:sz w:val="24"/>
                <w:szCs w:val="24"/>
                <w:highlight w:val="none"/>
                <w:u w:val="none"/>
              </w:rPr>
            </w:pPr>
            <w:r>
              <w:rPr>
                <w:rStyle w:val="230"/>
                <w:rFonts w:hint="eastAsia" w:asciiTheme="minorEastAsia" w:hAnsiTheme="minorEastAsia" w:eastAsiaTheme="minorEastAsia" w:cstheme="minorEastAsia"/>
                <w:color w:val="auto"/>
                <w:sz w:val="24"/>
                <w:szCs w:val="24"/>
                <w:highlight w:val="none"/>
                <w:lang w:val="en-US" w:eastAsia="zh-CN" w:bidi="ar"/>
              </w:rPr>
              <w:t>1.3.6可自动识别成人、小儿电极片，</w:t>
            </w:r>
            <w:r>
              <w:rPr>
                <w:rStyle w:val="232"/>
                <w:rFonts w:hint="eastAsia" w:asciiTheme="minorEastAsia" w:hAnsiTheme="minorEastAsia" w:eastAsiaTheme="minorEastAsia" w:cstheme="minorEastAsia"/>
                <w:color w:val="auto"/>
                <w:sz w:val="24"/>
                <w:szCs w:val="24"/>
                <w:highlight w:val="none"/>
                <w:lang w:val="en-US" w:eastAsia="zh-CN" w:bidi="ar"/>
              </w:rPr>
              <w:t>并根据电极片类型自动选择对应的除颤能量。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1.3.7提供智能语音播报。设备根据急救人员响应速度，智能提示急救人员除去病人的衣物、粘贴电极片。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1.4. 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1.4.1 待机寿命不少于5年（环境温度20 ℃ ±5 ℃，全新电池，每日自检、装入设备内不开机使用、不发送自检结果）。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1.4.2至少可支持300次200J除颤治疗或200次360J除颤治疗。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1.4.3可检测电池低电量并给出报警提示，低电量报警后至少还可持续30分钟工作时间和至少10次200J除颤充放电。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1.5.操作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1.5.1设备能够根据环境噪音强度自动调节语音播放音量，适应急救现场嘈杂环境下使用。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Style w:val="230"/>
                <w:rFonts w:hint="eastAsia" w:asciiTheme="minorEastAsia" w:hAnsiTheme="minorEastAsia" w:eastAsiaTheme="minorEastAsia" w:cstheme="minorEastAsia"/>
                <w:sz w:val="24"/>
                <w:szCs w:val="24"/>
                <w:highlight w:val="none"/>
                <w:lang w:val="en-US" w:eastAsia="zh-CN" w:bidi="ar"/>
              </w:rPr>
              <w:t>1.5</w:t>
            </w:r>
            <w:r>
              <w:rPr>
                <w:rStyle w:val="230"/>
                <w:rFonts w:hint="eastAsia" w:asciiTheme="minorEastAsia" w:hAnsiTheme="minorEastAsia" w:eastAsiaTheme="minorEastAsia" w:cstheme="minorEastAsia"/>
                <w:color w:val="auto"/>
                <w:sz w:val="24"/>
                <w:szCs w:val="24"/>
                <w:highlight w:val="none"/>
                <w:lang w:val="en-US" w:eastAsia="zh-CN" w:bidi="ar"/>
              </w:rPr>
              <w:t>.2</w:t>
            </w:r>
            <w:r>
              <w:rPr>
                <w:rStyle w:val="232"/>
                <w:rFonts w:hint="eastAsia" w:asciiTheme="minorEastAsia" w:hAnsiTheme="minorEastAsia" w:eastAsiaTheme="minorEastAsia" w:cstheme="minorEastAsia"/>
                <w:color w:val="auto"/>
                <w:sz w:val="24"/>
                <w:szCs w:val="24"/>
                <w:highlight w:val="none"/>
                <w:lang w:val="en-US" w:eastAsia="zh-CN" w:bidi="ar"/>
              </w:rPr>
              <w:t>提供中英文双语支持，</w:t>
            </w:r>
            <w:r>
              <w:rPr>
                <w:rStyle w:val="230"/>
                <w:rFonts w:hint="eastAsia" w:asciiTheme="minorEastAsia" w:hAnsiTheme="minorEastAsia" w:eastAsiaTheme="minorEastAsia" w:cstheme="minorEastAsia"/>
                <w:color w:val="auto"/>
                <w:sz w:val="24"/>
                <w:szCs w:val="24"/>
                <w:highlight w:val="none"/>
                <w:lang w:val="en-US" w:eastAsia="zh-CN" w:bidi="ar"/>
              </w:rPr>
              <w:t>包括界面显示和语音提示，可一键快速切换中英文，符合公共领域使用要求。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1.5.3支持成人/小儿患者类型快速一键切换，可根据病人类型自动切换提示信息、除颤能量和CPR按压模式。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1.5.4 CPR按压模式支持配置30:2,15:2和仅按压模式。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1.5.5在CPR仅按压过程中持续提供操作指导和剩余按压次数语音提示。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1.6.数据传输和存储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1.6.1存储容量：设备的内部存储容量不小于1GB，可存储不少于1000份自检报告。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1.6.2具备录音功能，可保存60分钟抢救现场录音。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1.6.3数据存储：可存储ECG波形数据、事件数据、录音数据、急救数据（须有急救时间、CPR 持续时间、放电次数等要素）、录音数据等。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Style w:val="230"/>
                <w:rFonts w:hint="eastAsia" w:asciiTheme="minorEastAsia" w:hAnsiTheme="minorEastAsia" w:eastAsiaTheme="minorEastAsia" w:cstheme="minorEastAsia"/>
                <w:sz w:val="24"/>
                <w:szCs w:val="24"/>
                <w:highlight w:val="none"/>
                <w:lang w:val="en-US" w:eastAsia="zh-CN" w:bidi="ar"/>
              </w:rPr>
              <w:t>1.6.4支持</w:t>
            </w:r>
            <w:r>
              <w:rPr>
                <w:rStyle w:val="230"/>
                <w:rFonts w:hint="eastAsia" w:asciiTheme="minorEastAsia" w:hAnsiTheme="minorEastAsia" w:eastAsiaTheme="minorEastAsia" w:cstheme="minorEastAsia"/>
                <w:color w:val="auto"/>
                <w:sz w:val="24"/>
                <w:szCs w:val="24"/>
                <w:highlight w:val="none"/>
                <w:lang w:val="en-US" w:eastAsia="zh-CN" w:bidi="ar"/>
              </w:rPr>
              <w:t>USB接口，</w:t>
            </w:r>
            <w:r>
              <w:rPr>
                <w:rStyle w:val="232"/>
                <w:rFonts w:hint="eastAsia" w:asciiTheme="minorEastAsia" w:hAnsiTheme="minorEastAsia" w:eastAsiaTheme="minorEastAsia" w:cstheme="minorEastAsia"/>
                <w:color w:val="auto"/>
                <w:sz w:val="24"/>
                <w:szCs w:val="24"/>
                <w:highlight w:val="none"/>
                <w:lang w:val="en-US" w:eastAsia="zh-CN" w:bidi="ar"/>
              </w:rPr>
              <w:t>可通过外部USB闪存设备导出抢救记录数据。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1.7设备维护与自检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1.7.1设备具有用户自检和设备自检功能。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1.7.2 支持每日、每周、每月、每季度的设备自检。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1.7.3提供设备状态指示灯：根据自检结果，红灯/绿灯显示设备状态。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1.7.4电极片自检：每月一次，检查电极片是否过期。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1.7.5 电气安全监测：每年一次，及时检测出可能对病人、急救人员和维修人员造成电气安全危害的隐患。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b/>
                <w:i w:val="0"/>
                <w:color w:val="000000"/>
                <w:sz w:val="24"/>
                <w:szCs w:val="24"/>
                <w:highlight w:val="none"/>
                <w:u w:val="none"/>
              </w:rPr>
            </w:pPr>
            <w:r>
              <w:rPr>
                <w:rFonts w:hint="eastAsia" w:asciiTheme="minorEastAsia" w:hAnsiTheme="minorEastAsia" w:eastAsiaTheme="minorEastAsia" w:cstheme="minorEastAsia"/>
                <w:b/>
                <w:i w:val="0"/>
                <w:color w:val="000000"/>
                <w:kern w:val="0"/>
                <w:sz w:val="24"/>
                <w:szCs w:val="24"/>
                <w:highlight w:val="none"/>
                <w:u w:val="none"/>
                <w:lang w:val="en-US" w:eastAsia="zh-CN" w:bidi="ar"/>
              </w:rPr>
              <w:t>1.8配置及相关要求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1.8.1配置清单：自动体外除颤器、一次性免维护不可充电电池、成人一次性电极片、用户手册、快速操作指南。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1.8.2相关要求：AED为投标方的最新产品，且出厂日期应不超过半年，如为进口产品，提供有效的进关证明（报关单）。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967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1.8.3机箱要求：采用壁挂式机箱，材质应耐压耐腐蚀并具备防晒防水等功能；机箱外观应比例协调，美观大方，机箱色彩由采购方选定，并应根据采购方需求印制指定标识及宣传标语。</w:t>
            </w:r>
          </w:p>
        </w:tc>
      </w:tr>
    </w:tbl>
    <w:p>
      <w:pPr>
        <w:pStyle w:val="36"/>
        <w:keepNext w:val="0"/>
        <w:keepLines w:val="0"/>
        <w:pageBreakBefore w:val="0"/>
        <w:widowControl/>
        <w:numPr>
          <w:ilvl w:val="0"/>
          <w:numId w:val="0"/>
        </w:numPr>
        <w:suppressLineNumbers w:val="0"/>
        <w:kinsoku/>
        <w:overflowPunct/>
        <w:topLinePunct w:val="0"/>
        <w:autoSpaceDE/>
        <w:autoSpaceDN/>
        <w:bidi w:val="0"/>
        <w:adjustRightInd/>
        <w:snapToGrid/>
        <w:spacing w:before="0" w:beforeLines="0" w:beforeAutospacing="0" w:after="0" w:afterLines="0" w:afterAutospacing="0" w:line="360" w:lineRule="auto"/>
        <w:ind w:leftChars="0" w:right="0" w:rightChars="0"/>
        <w:textAlignment w:val="auto"/>
        <w:outlineLvl w:val="9"/>
        <w:rPr>
          <w:rFonts w:hint="eastAsia" w:ascii="宋体" w:hAnsi="宋体" w:cs="宋体"/>
          <w:b/>
          <w:bCs/>
          <w:color w:val="auto"/>
          <w:spacing w:val="0"/>
          <w:sz w:val="24"/>
          <w:szCs w:val="24"/>
          <w:highlight w:val="none"/>
          <w:lang w:eastAsia="zh-CN"/>
        </w:rPr>
      </w:pPr>
    </w:p>
    <w:bookmarkEnd w:id="121"/>
    <w:bookmarkEnd w:id="122"/>
    <w:bookmarkEnd w:id="123"/>
    <w:bookmarkEnd w:id="124"/>
    <w:bookmarkEnd w:id="125"/>
    <w:bookmarkEnd w:id="126"/>
    <w:bookmarkEnd w:id="127"/>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auto"/>
        <w:ind w:left="0" w:leftChars="0" w:firstLine="0" w:firstLineChars="0"/>
        <w:textAlignment w:val="auto"/>
        <w:outlineLvl w:val="1"/>
        <w:rPr>
          <w:rFonts w:hint="eastAsia" w:ascii="宋体" w:hAnsi="宋体" w:eastAsia="宋体" w:cs="宋体"/>
          <w:b/>
          <w:bCs/>
          <w:color w:val="auto"/>
          <w:sz w:val="24"/>
          <w:szCs w:val="24"/>
          <w:highlight w:val="none"/>
          <w:lang w:val="en-US" w:eastAsia="zh-CN"/>
        </w:rPr>
      </w:pPr>
      <w:bookmarkStart w:id="136" w:name="_Toc5401"/>
      <w:bookmarkStart w:id="137" w:name="_Toc471817420"/>
      <w:bookmarkStart w:id="138" w:name="_Toc492718078"/>
      <w:bookmarkStart w:id="139" w:name="_Toc464492987"/>
      <w:r>
        <w:rPr>
          <w:rFonts w:hint="eastAsia" w:ascii="宋体" w:hAnsi="宋体" w:eastAsia="宋体" w:cs="宋体"/>
          <w:b/>
          <w:bCs/>
          <w:color w:val="auto"/>
          <w:sz w:val="24"/>
          <w:szCs w:val="24"/>
          <w:highlight w:val="none"/>
          <w:lang w:val="en-US" w:eastAsia="zh-CN"/>
        </w:rPr>
        <w:t>商务条件（以下内容均不可偏离，投标人应逐条进行响应，否则视为无效投标）</w:t>
      </w:r>
      <w:bookmarkEnd w:id="136"/>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cs="宋体"/>
          <w:sz w:val="24"/>
          <w:szCs w:val="24"/>
          <w:highlight w:val="none"/>
          <w:lang w:val="en-US" w:eastAsia="zh-CN"/>
        </w:rPr>
        <w:t>1</w:t>
      </w:r>
      <w:r>
        <w:rPr>
          <w:rStyle w:val="43"/>
          <w:rFonts w:hint="eastAsia" w:ascii="宋体" w:hAnsi="宋体" w:eastAsia="宋体" w:cs="宋体"/>
          <w:sz w:val="24"/>
          <w:szCs w:val="24"/>
          <w:highlight w:val="none"/>
        </w:rPr>
        <w:t>、安装调试与验收</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eastAsia="宋体" w:cs="宋体"/>
          <w:sz w:val="24"/>
          <w:szCs w:val="24"/>
          <w:highlight w:val="none"/>
        </w:rPr>
        <w:t>  </w:t>
      </w:r>
      <w:r>
        <w:rPr>
          <w:rStyle w:val="43"/>
          <w:rFonts w:hint="eastAsia" w:ascii="宋体" w:hAnsi="宋体" w:cs="宋体"/>
          <w:sz w:val="24"/>
          <w:szCs w:val="24"/>
          <w:highlight w:val="none"/>
          <w:lang w:val="en-US" w:eastAsia="zh-CN"/>
        </w:rPr>
        <w:t>1</w:t>
      </w:r>
      <w:r>
        <w:rPr>
          <w:rStyle w:val="43"/>
          <w:rFonts w:hint="eastAsia" w:ascii="宋体" w:hAnsi="宋体" w:eastAsia="宋体" w:cs="宋体"/>
          <w:sz w:val="24"/>
          <w:szCs w:val="24"/>
          <w:highlight w:val="none"/>
        </w:rPr>
        <w:t>.1安装调试</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.1.1合同签订后，由中标人负责将设备按签订合同的具体数量、具体地点运送到最终目的地。并负责派技术人员到现场进行安装、调试，并负责调试至验收合格交付</w:t>
      </w:r>
      <w:r>
        <w:rPr>
          <w:rFonts w:hint="eastAsia" w:ascii="宋体" w:hAnsi="宋体" w:cs="宋体"/>
          <w:sz w:val="24"/>
          <w:szCs w:val="24"/>
          <w:highlight w:val="none"/>
          <w:lang w:eastAsia="zh-CN"/>
        </w:rPr>
        <w:t>配置车辆的卫生院</w:t>
      </w:r>
      <w:r>
        <w:rPr>
          <w:rFonts w:hint="eastAsia" w:ascii="宋体" w:hAnsi="宋体" w:eastAsia="宋体" w:cs="宋体"/>
          <w:sz w:val="24"/>
          <w:szCs w:val="24"/>
          <w:highlight w:val="none"/>
        </w:rPr>
        <w:t>使用。</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.1.2中标人负责组织专业技术人员进行货物安装调试，采购人应提供必须的基本条件和专人配合，保证各项安装工作顺利进行。</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 设备到达最终采购人</w:t>
      </w:r>
      <w:r>
        <w:rPr>
          <w:rFonts w:hint="eastAsia" w:ascii="宋体" w:hAnsi="宋体" w:eastAsia="宋体" w:cs="宋体"/>
          <w:sz w:val="24"/>
          <w:szCs w:val="24"/>
          <w:highlight w:val="none"/>
          <w:lang w:eastAsia="zh-CN"/>
        </w:rPr>
        <w:t>指定</w:t>
      </w:r>
      <w:r>
        <w:rPr>
          <w:rFonts w:hint="eastAsia" w:ascii="宋体" w:hAnsi="宋体" w:eastAsia="宋体" w:cs="宋体"/>
          <w:sz w:val="24"/>
          <w:szCs w:val="24"/>
          <w:highlight w:val="none"/>
        </w:rPr>
        <w:t>现场后，中标人的工程师到采购人的现场安装设备，同时应向</w:t>
      </w:r>
      <w:r>
        <w:rPr>
          <w:rFonts w:hint="eastAsia" w:ascii="宋体" w:hAnsi="宋体" w:cs="宋体"/>
          <w:sz w:val="24"/>
          <w:szCs w:val="24"/>
          <w:highlight w:val="none"/>
          <w:lang w:eastAsia="zh-CN"/>
        </w:rPr>
        <w:t>接收方</w:t>
      </w:r>
      <w:r>
        <w:rPr>
          <w:rFonts w:hint="eastAsia" w:ascii="宋体" w:hAnsi="宋体" w:eastAsia="宋体" w:cs="宋体"/>
          <w:sz w:val="24"/>
          <w:szCs w:val="24"/>
          <w:highlight w:val="none"/>
        </w:rPr>
        <w:t>介绍设备功能及特殊分析。</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中标人提供的配置应符合临床应用要求。</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eastAsia="宋体" w:cs="宋体"/>
          <w:sz w:val="24"/>
          <w:szCs w:val="24"/>
          <w:highlight w:val="none"/>
        </w:rPr>
        <w:t>  </w:t>
      </w:r>
      <w:r>
        <w:rPr>
          <w:rStyle w:val="43"/>
          <w:rFonts w:hint="eastAsia" w:ascii="宋体" w:hAnsi="宋体" w:cs="宋体"/>
          <w:sz w:val="24"/>
          <w:szCs w:val="24"/>
          <w:highlight w:val="none"/>
          <w:lang w:val="en-US" w:eastAsia="zh-CN"/>
        </w:rPr>
        <w:t>1</w:t>
      </w:r>
      <w:r>
        <w:rPr>
          <w:rStyle w:val="43"/>
          <w:rFonts w:hint="eastAsia" w:ascii="宋体" w:hAnsi="宋体" w:eastAsia="宋体" w:cs="宋体"/>
          <w:sz w:val="24"/>
          <w:szCs w:val="24"/>
          <w:highlight w:val="none"/>
        </w:rPr>
        <w:t>.2  验收</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eastAsia="宋体" w:cs="宋体"/>
          <w:sz w:val="24"/>
          <w:szCs w:val="24"/>
          <w:highlight w:val="none"/>
        </w:rPr>
        <w:t>  </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验收标准 投标方所提供的所有仪器设备按厂家仪器设备验收标准（符合国家或行业或地方标准）、招标文件、投标文件等有关内容进行验收。投标方提供仪器设备的制造标准及技术规范等有关资料必须符合中国相应有关标准、规范要求。 </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384"/>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 xml:space="preserve">2验收程序和方法 </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384"/>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1 \* GB3 \* MERGEFORMAT </w:instrText>
      </w:r>
      <w:r>
        <w:rPr>
          <w:rFonts w:hint="eastAsia" w:ascii="宋体" w:hAnsi="宋体" w:eastAsia="宋体" w:cs="宋体"/>
          <w:sz w:val="24"/>
          <w:szCs w:val="24"/>
          <w:highlight w:val="none"/>
        </w:rPr>
        <w:fldChar w:fldCharType="separate"/>
      </w:r>
      <w:r>
        <w:rPr>
          <w:highlight w:val="none"/>
        </w:rPr>
        <w:t>①</w:t>
      </w:r>
      <w:r>
        <w:rPr>
          <w:rFonts w:hint="eastAsia" w:ascii="宋体" w:hAnsi="宋体" w:eastAsia="宋体" w:cs="宋体"/>
          <w:sz w:val="24"/>
          <w:szCs w:val="24"/>
          <w:highlight w:val="none"/>
        </w:rPr>
        <w:fldChar w:fldCharType="end"/>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出厂检验 中标人在仪器设备出厂前，应按仪器设备技术标准规定的检验项目和检验方法进行全面检验，中标人应随同货物出具供货证明、产地证书、出厂检验报告、质量合格证书、原装拼配设备的证明资料和文件以及生产厂家供货确认函等。结果必须符合验收标准的要求。 </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384"/>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2 \* GB3 \* MERGEFORMAT </w:instrText>
      </w:r>
      <w:r>
        <w:rPr>
          <w:rFonts w:hint="eastAsia" w:ascii="宋体" w:hAnsi="宋体" w:eastAsia="宋体" w:cs="宋体"/>
          <w:sz w:val="24"/>
          <w:szCs w:val="24"/>
          <w:highlight w:val="none"/>
        </w:rPr>
        <w:fldChar w:fldCharType="separate"/>
      </w:r>
      <w:r>
        <w:rPr>
          <w:highlight w:val="none"/>
        </w:rPr>
        <w:t>②</w:t>
      </w:r>
      <w:r>
        <w:rPr>
          <w:rFonts w:hint="eastAsia" w:ascii="宋体" w:hAnsi="宋体" w:eastAsia="宋体" w:cs="宋体"/>
          <w:sz w:val="24"/>
          <w:szCs w:val="24"/>
          <w:highlight w:val="none"/>
        </w:rPr>
        <w:fldChar w:fldCharType="end"/>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初验收 由中标人和</w:t>
      </w:r>
      <w:r>
        <w:rPr>
          <w:rFonts w:hint="eastAsia" w:ascii="宋体" w:hAnsi="宋体" w:cs="宋体"/>
          <w:sz w:val="24"/>
          <w:szCs w:val="24"/>
          <w:highlight w:val="none"/>
          <w:lang w:eastAsia="zh-CN"/>
        </w:rPr>
        <w:t>接收方</w:t>
      </w:r>
      <w:r>
        <w:rPr>
          <w:rFonts w:hint="eastAsia" w:ascii="宋体" w:hAnsi="宋体" w:eastAsia="宋体" w:cs="宋体"/>
          <w:sz w:val="24"/>
          <w:szCs w:val="24"/>
          <w:highlight w:val="none"/>
        </w:rPr>
        <w:t xml:space="preserve">共同对设备的数量、质量、外包装等根据本章节的有关规定逐项检验。 </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384"/>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3 \* GB3 \* MERGEFORMAT </w:instrText>
      </w:r>
      <w:r>
        <w:rPr>
          <w:rFonts w:hint="eastAsia" w:ascii="宋体" w:hAnsi="宋体" w:eastAsia="宋体" w:cs="宋体"/>
          <w:sz w:val="24"/>
          <w:szCs w:val="24"/>
          <w:highlight w:val="none"/>
        </w:rPr>
        <w:fldChar w:fldCharType="separate"/>
      </w:r>
      <w:r>
        <w:rPr>
          <w:highlight w:val="none"/>
        </w:rPr>
        <w:t>③</w:t>
      </w:r>
      <w:r>
        <w:rPr>
          <w:rFonts w:hint="eastAsia" w:ascii="宋体" w:hAnsi="宋体" w:eastAsia="宋体" w:cs="宋体"/>
          <w:sz w:val="24"/>
          <w:szCs w:val="24"/>
          <w:highlight w:val="none"/>
        </w:rPr>
        <w:fldChar w:fldCharType="end"/>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试运行 设备安装完毕后，中标人应对设备的整体性能和功能进行测试，试运行期间，出现的任何问题，应由中标人及时处理修正。测试结果必须符合招标文件要求及合同中的相关条款，同时中标人应向采购人提供自检记录。 </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384"/>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4 \* GB3 \* MERGEFORMAT </w:instrText>
      </w:r>
      <w:r>
        <w:rPr>
          <w:rFonts w:hint="eastAsia" w:ascii="宋体" w:hAnsi="宋体" w:eastAsia="宋体" w:cs="宋体"/>
          <w:sz w:val="24"/>
          <w:szCs w:val="24"/>
          <w:highlight w:val="none"/>
        </w:rPr>
        <w:fldChar w:fldCharType="separate"/>
      </w:r>
      <w:r>
        <w:rPr>
          <w:highlight w:val="none"/>
        </w:rPr>
        <w:t>④</w:t>
      </w:r>
      <w:r>
        <w:rPr>
          <w:rFonts w:hint="eastAsia" w:ascii="宋体" w:hAnsi="宋体" w:eastAsia="宋体" w:cs="宋体"/>
          <w:sz w:val="24"/>
          <w:szCs w:val="24"/>
          <w:highlight w:val="none"/>
        </w:rPr>
        <w:fldChar w:fldCharType="end"/>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最终验收 试运行并测试验收结束后，由</w:t>
      </w:r>
      <w:r>
        <w:rPr>
          <w:rFonts w:hint="eastAsia" w:ascii="宋体" w:hAnsi="宋体" w:cs="宋体"/>
          <w:sz w:val="24"/>
          <w:szCs w:val="24"/>
          <w:highlight w:val="none"/>
          <w:lang w:eastAsia="zh-CN"/>
        </w:rPr>
        <w:t>接收方</w:t>
      </w:r>
      <w:r>
        <w:rPr>
          <w:rFonts w:hint="eastAsia" w:ascii="宋体" w:hAnsi="宋体" w:eastAsia="宋体" w:cs="宋体"/>
          <w:sz w:val="24"/>
          <w:szCs w:val="24"/>
          <w:highlight w:val="none"/>
        </w:rPr>
        <w:t>或</w:t>
      </w:r>
      <w:r>
        <w:rPr>
          <w:rFonts w:hint="eastAsia" w:ascii="宋体" w:hAnsi="宋体" w:cs="宋体"/>
          <w:sz w:val="24"/>
          <w:szCs w:val="24"/>
          <w:highlight w:val="none"/>
          <w:lang w:eastAsia="zh-CN"/>
        </w:rPr>
        <w:t>采购人委托单位</w:t>
      </w:r>
      <w:r>
        <w:rPr>
          <w:rFonts w:hint="eastAsia" w:ascii="宋体" w:hAnsi="宋体" w:eastAsia="宋体" w:cs="宋体"/>
          <w:sz w:val="24"/>
          <w:szCs w:val="24"/>
          <w:highlight w:val="none"/>
        </w:rPr>
        <w:t>一同对仪器设备进行联合验收，验收结果应符合使用要求。在此期间，若发现产品质量有问题中标人应无条件免费更换，并无条件重新检测调试直至验收合格交付使用。中标人在</w:t>
      </w:r>
      <w:r>
        <w:rPr>
          <w:rFonts w:hint="eastAsia" w:ascii="宋体" w:hAnsi="宋体" w:cs="宋体"/>
          <w:sz w:val="24"/>
          <w:szCs w:val="24"/>
          <w:highlight w:val="none"/>
          <w:lang w:eastAsia="zh-CN"/>
        </w:rPr>
        <w:t>接收方</w:t>
      </w:r>
      <w:r>
        <w:rPr>
          <w:rFonts w:hint="eastAsia" w:ascii="宋体" w:hAnsi="宋体" w:eastAsia="宋体" w:cs="宋体"/>
          <w:sz w:val="24"/>
          <w:szCs w:val="24"/>
          <w:highlight w:val="none"/>
        </w:rPr>
        <w:t>安装现场进行最终检验所产生的一切费用由中标人承担。</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eastAsia="宋体" w:cs="宋体"/>
          <w:sz w:val="24"/>
          <w:szCs w:val="24"/>
          <w:highlight w:val="none"/>
        </w:rPr>
        <w:t> </w:t>
      </w:r>
      <w:r>
        <w:rPr>
          <w:rStyle w:val="43"/>
          <w:rFonts w:hint="eastAsia" w:ascii="宋体" w:hAnsi="宋体" w:eastAsia="宋体" w:cs="宋体"/>
          <w:sz w:val="24"/>
          <w:szCs w:val="24"/>
          <w:highlight w:val="none"/>
          <w:lang w:val="en-US" w:eastAsia="zh-CN"/>
        </w:rPr>
        <w:t>2</w:t>
      </w:r>
      <w:r>
        <w:rPr>
          <w:rStyle w:val="43"/>
          <w:rFonts w:hint="eastAsia" w:ascii="宋体" w:hAnsi="宋体" w:eastAsia="宋体" w:cs="宋体"/>
          <w:sz w:val="24"/>
          <w:szCs w:val="24"/>
          <w:highlight w:val="none"/>
        </w:rPr>
        <w:t>、技术资料要求</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12" w:leftChars="0" w:firstLine="554" w:firstLineChars="231"/>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中标人需提供本项目全套设备配置清单（详列名称、品牌型号、数量、原产地等）。中标人应向采购人提供以下目录的技术资料壹套（各项指标和参数应符合验收标准，采购人有权委托</w:t>
      </w:r>
      <w:r>
        <w:rPr>
          <w:rFonts w:hint="eastAsia" w:ascii="宋体" w:hAnsi="宋体" w:cs="宋体"/>
          <w:sz w:val="24"/>
          <w:szCs w:val="24"/>
          <w:highlight w:val="none"/>
          <w:lang w:eastAsia="zh-CN"/>
        </w:rPr>
        <w:t>国内</w:t>
      </w:r>
      <w:r>
        <w:rPr>
          <w:rFonts w:hint="eastAsia" w:ascii="宋体" w:hAnsi="宋体" w:eastAsia="宋体" w:cs="宋体"/>
          <w:sz w:val="24"/>
          <w:szCs w:val="24"/>
          <w:highlight w:val="none"/>
        </w:rPr>
        <w:t>有资格单位或机构对设备性能、精度进行校核）。</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.1出厂明细表(装箱单)；</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.2出厂检验报告和合格证书；</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.3使用说明书；</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.4安装手册、操作手册、维修手册；</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.5零部件目录；</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.6相关文件、支持程序软盘或光盘；</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.7提供原 产 地制造商的产品证明；</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.8合同中要求的其它文件资料。</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cs="宋体"/>
          <w:sz w:val="24"/>
          <w:szCs w:val="24"/>
          <w:highlight w:val="none"/>
          <w:lang w:val="en-US" w:eastAsia="zh-CN"/>
        </w:rPr>
        <w:t>3</w:t>
      </w:r>
      <w:r>
        <w:rPr>
          <w:rStyle w:val="43"/>
          <w:rFonts w:hint="eastAsia" w:ascii="宋体" w:hAnsi="宋体" w:eastAsia="宋体" w:cs="宋体"/>
          <w:sz w:val="24"/>
          <w:szCs w:val="24"/>
          <w:highlight w:val="none"/>
        </w:rPr>
        <w:t>、专用工具</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.1中标人应向采购人提供一套维修所需的专用工具及清单(若有清单附在投标文件中)。</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cs="宋体"/>
          <w:sz w:val="24"/>
          <w:szCs w:val="24"/>
          <w:highlight w:val="none"/>
          <w:lang w:val="en-US" w:eastAsia="zh-CN"/>
        </w:rPr>
        <w:t>4</w:t>
      </w:r>
      <w:r>
        <w:rPr>
          <w:rStyle w:val="43"/>
          <w:rFonts w:hint="eastAsia" w:ascii="宋体" w:hAnsi="宋体" w:eastAsia="宋体" w:cs="宋体"/>
          <w:sz w:val="24"/>
          <w:szCs w:val="24"/>
          <w:highlight w:val="none"/>
        </w:rPr>
        <w:t>、特殊工具</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192"/>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.1中标人应向采购人提供货物安装和维修所需的特殊工具及清单和中文说明书，其费用包括在投标总价内（若有）。</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cs="宋体"/>
          <w:sz w:val="24"/>
          <w:szCs w:val="24"/>
          <w:highlight w:val="none"/>
          <w:lang w:val="en-US" w:eastAsia="zh-CN"/>
        </w:rPr>
        <w:t>5</w:t>
      </w:r>
      <w:r>
        <w:rPr>
          <w:rStyle w:val="43"/>
          <w:rFonts w:hint="eastAsia" w:ascii="宋体" w:hAnsi="宋体" w:eastAsia="宋体" w:cs="宋体"/>
          <w:sz w:val="24"/>
          <w:szCs w:val="24"/>
          <w:highlight w:val="none"/>
        </w:rPr>
        <w:t>、售后服务要求</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.1中标人应对所供的</w:t>
      </w:r>
      <w:r>
        <w:rPr>
          <w:rFonts w:hint="eastAsia" w:asciiTheme="minorEastAsia" w:hAnsiTheme="minorEastAsia" w:eastAsiaTheme="minorEastAsia" w:cstheme="minorEastAsia"/>
          <w:sz w:val="24"/>
          <w:szCs w:val="24"/>
          <w:highlight w:val="none"/>
        </w:rPr>
        <w:t>车辆质保期</w:t>
      </w:r>
      <w:r>
        <w:rPr>
          <w:rFonts w:hint="eastAsia" w:ascii="宋体" w:hAnsi="宋体" w:eastAsia="宋体" w:cs="宋体"/>
          <w:sz w:val="24"/>
          <w:szCs w:val="24"/>
          <w:highlight w:val="none"/>
        </w:rPr>
        <w:t>≧</w:t>
      </w:r>
      <w:r>
        <w:rPr>
          <w:rFonts w:hint="eastAsia" w:asciiTheme="minorEastAsia" w:hAnsiTheme="minorEastAsia" w:eastAsiaTheme="minorEastAsia" w:cstheme="minorEastAsia"/>
          <w:sz w:val="24"/>
          <w:szCs w:val="24"/>
          <w:highlight w:val="none"/>
        </w:rPr>
        <w:t>2</w:t>
      </w:r>
      <w:r>
        <w:rPr>
          <w:rFonts w:hint="eastAsia" w:ascii="宋体" w:hAnsi="宋体" w:eastAsia="宋体" w:cs="宋体"/>
          <w:sz w:val="24"/>
          <w:szCs w:val="24"/>
          <w:highlight w:val="none"/>
        </w:rPr>
        <w:t>年或8万公里（先到为准），免费三清保养≧4次，所有三清保养中所需的机油、齿轮油及工时费全免</w:t>
      </w:r>
      <w:r>
        <w:rPr>
          <w:rFonts w:hint="eastAsia" w:ascii="宋体" w:hAnsi="宋体" w:cs="宋体"/>
          <w:sz w:val="24"/>
          <w:szCs w:val="24"/>
          <w:highlight w:val="none"/>
          <w:lang w:eastAsia="zh-CN"/>
        </w:rPr>
        <w:t>，</w:t>
      </w:r>
      <w:r>
        <w:rPr>
          <w:rFonts w:hint="eastAsia" w:asciiTheme="minorEastAsia" w:hAnsiTheme="minorEastAsia" w:eastAsiaTheme="minorEastAsia" w:cstheme="minorEastAsia"/>
          <w:kern w:val="0"/>
          <w:sz w:val="24"/>
          <w:szCs w:val="24"/>
          <w:highlight w:val="none"/>
        </w:rPr>
        <w:t>车辆及其底盘车均须有国家汽车公告认可，车辆运行安全条件应符合GB7258－2017《机动车运行安全技术条件》，</w:t>
      </w:r>
      <w:r>
        <w:rPr>
          <w:rFonts w:hint="eastAsia" w:asciiTheme="minorEastAsia" w:hAnsiTheme="minorEastAsia" w:eastAsiaTheme="minorEastAsia" w:cstheme="minorEastAsia"/>
          <w:sz w:val="24"/>
          <w:szCs w:val="24"/>
          <w:highlight w:val="none"/>
        </w:rPr>
        <w:t>并提供车辆售后维护保养服务，车载医疗设备售后服务由设备厂家负责。</w:t>
      </w:r>
      <w:r>
        <w:rPr>
          <w:rFonts w:hint="eastAsia" w:ascii="宋体" w:hAnsi="宋体" w:cs="宋体"/>
          <w:sz w:val="24"/>
          <w:szCs w:val="24"/>
          <w:highlight w:val="none"/>
          <w:lang w:eastAsia="zh-CN"/>
        </w:rPr>
        <w:t>随车配备</w:t>
      </w:r>
      <w:r>
        <w:rPr>
          <w:rFonts w:hint="eastAsia" w:ascii="宋体" w:hAnsi="宋体" w:eastAsia="宋体" w:cs="宋体"/>
          <w:sz w:val="24"/>
          <w:szCs w:val="24"/>
          <w:highlight w:val="none"/>
        </w:rPr>
        <w:t>医疗设备质保期应≧</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年，质保期的服务响应时间（必须在4个小时作出响应）</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免费提供质保期内的日常维护，系统安装后每季度上门进行巡回维护服务，并无偿提供≧3年内软件操作系统的升级更新服务。自产品交货验收合格之日算起。保修期内，非因操作不当造成要更换的零配件及货物由中标人负责包修、包换。在质量保修期结束前1个月，中标人须免费对货物进行一次全面的维护与保养。</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.2质量保修期后的服务要求</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.2.1质保期结束后，中标人仍应对货物提供终身维修服务，中标人有责任自行维护或在当地指定有能力的代 理人对货物在必要时进行定期维护和修理，更换配件时只能收取配件的成本费，各配件的折扣价应在响应文件中注明。供应商在响应文件中必须明确说明服务承诺。 </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.3 维修服务的响应时间</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.3.1质量保修期内要求现场保修的货物若发生问题，中标人最终维修服务响应时间为立即响应, 在24小时内到达现场进行免费维修服务。故障原因在48小时内无法排除的，则应提供相应的备用货物以保证采购人的正常使用。故障维修响应时间内未到过现场进行维修者，采购人可自行委托相关企业进行维修，所需费用从质量保证金中扣除。</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.4 供应商可视自身能力在响应文件中提供更优、更合理的维修服务承诺。</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.5 中标人应结合供应商自检、最终验收阶段，免费为采购人技术人员进行有关货物维护、操作、保养等方面的现场培训，直至能熟练独立操作。</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cs="宋体"/>
          <w:sz w:val="24"/>
          <w:szCs w:val="24"/>
          <w:highlight w:val="none"/>
          <w:lang w:val="en-US" w:eastAsia="zh-CN"/>
        </w:rPr>
        <w:t>6</w:t>
      </w:r>
      <w:r>
        <w:rPr>
          <w:rStyle w:val="43"/>
          <w:rFonts w:hint="eastAsia" w:ascii="宋体" w:hAnsi="宋体" w:eastAsia="宋体" w:cs="宋体"/>
          <w:sz w:val="24"/>
          <w:szCs w:val="24"/>
          <w:highlight w:val="none"/>
        </w:rPr>
        <w:t>、技术培训</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为确保用户方的相关管理人员能对中标方所提供的设备和装置的设计、日常的动作、损耗和例行维护等有全面的认识和了解，中标方须负责提供所需的安装、调试、操作使用、设备维修等进行技术培训（现场培训），使其对整套系统的各个方面都能熟悉掌握。</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(2)技术培训所涉及的一切费用（包括中标人委派的专业技术人员费用）均由中标人承担且应包含在本次投标总价中。</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Style w:val="43"/>
          <w:rFonts w:hint="eastAsia" w:ascii="宋体" w:hAnsi="宋体" w:eastAsia="宋体" w:cs="宋体"/>
          <w:kern w:val="0"/>
          <w:sz w:val="24"/>
          <w:szCs w:val="24"/>
          <w:highlight w:val="none"/>
          <w:lang w:val="en-US" w:eastAsia="zh-CN" w:bidi="ar"/>
        </w:rPr>
        <w:t>7、支付方式</w:t>
      </w:r>
      <w:r>
        <w:rPr>
          <w:rStyle w:val="43"/>
          <w:rFonts w:hint="eastAsia" w:ascii="宋体" w:hAnsi="宋体" w:cs="宋体"/>
          <w:kern w:val="0"/>
          <w:sz w:val="24"/>
          <w:szCs w:val="24"/>
          <w:highlight w:val="none"/>
          <w:lang w:val="en-US" w:eastAsia="zh-CN" w:bidi="ar"/>
        </w:rPr>
        <w:t>：</w:t>
      </w:r>
      <w:r>
        <w:rPr>
          <w:rFonts w:hint="eastAsia" w:ascii="宋体" w:hAnsi="宋体" w:eastAsia="宋体" w:cs="宋体"/>
          <w:sz w:val="24"/>
          <w:szCs w:val="24"/>
          <w:highlight w:val="none"/>
        </w:rPr>
        <w:t>签订合同后付合同总金额的40%</w:t>
      </w:r>
      <w:r>
        <w:rPr>
          <w:rFonts w:hint="eastAsia" w:ascii="宋体" w:hAnsi="宋体" w:cs="宋体"/>
          <w:sz w:val="24"/>
          <w:szCs w:val="24"/>
          <w:highlight w:val="none"/>
          <w:lang w:eastAsia="zh-CN"/>
        </w:rPr>
        <w:t>（同时中标人应提供银行出具的</w:t>
      </w:r>
      <w:r>
        <w:rPr>
          <w:rFonts w:hint="eastAsia" w:ascii="宋体" w:hAnsi="宋体" w:cs="宋体"/>
          <w:sz w:val="24"/>
          <w:szCs w:val="24"/>
          <w:highlight w:val="none"/>
          <w:lang w:val="en-US" w:eastAsia="zh-CN"/>
        </w:rPr>
        <w:t>100%预付款退款保函）</w:t>
      </w:r>
      <w:r>
        <w:rPr>
          <w:rFonts w:hint="eastAsia" w:ascii="宋体" w:hAnsi="宋体" w:eastAsia="宋体" w:cs="宋体"/>
          <w:sz w:val="24"/>
          <w:szCs w:val="24"/>
          <w:highlight w:val="none"/>
        </w:rPr>
        <w:t>，到货后付合同总金额的30%，最终验收合格后付清余款</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 xml:space="preserve"> </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8</w:t>
      </w:r>
      <w:r>
        <w:rPr>
          <w:rFonts w:hint="eastAsia" w:ascii="宋体" w:hAnsi="宋体" w:eastAsia="宋体" w:cs="宋体"/>
          <w:b/>
          <w:bCs/>
          <w:sz w:val="24"/>
          <w:szCs w:val="24"/>
          <w:highlight w:val="none"/>
        </w:rPr>
        <w:t>、履约保证金</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554" w:firstLineChars="231"/>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签订合同前，中标人向采购人缴交合同总金额的5%履约保证金[履约保证金的形式可为保函] 后。该履约保证金于本项最终验收合格后，无任何质量或服务问题，无违约情况，且中标人向采购人提交退还履约保证金申请报告后，采购人于15日内无息全额退还履约保证金。投标人若存在不履行合同或不完全履行合同，或中标后或签约时或履行合同过程中发现中标人存在提供虚假材料或承诺谋取中标等行为的，履约保证金均不予退还。</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sz w:val="24"/>
          <w:szCs w:val="24"/>
          <w:highlight w:val="none"/>
        </w:rPr>
      </w:pPr>
      <w:r>
        <w:rPr>
          <w:rFonts w:hint="eastAsia" w:ascii="宋体" w:hAnsi="宋体" w:cs="宋体"/>
          <w:b/>
          <w:bCs/>
          <w:sz w:val="24"/>
          <w:szCs w:val="24"/>
          <w:highlight w:val="none"/>
          <w:lang w:val="en-US" w:eastAsia="zh-CN"/>
        </w:rPr>
        <w:t>9</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rPr>
        <w:t>投标报价说明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本次招标项目的投标价格包含车身价、改装费、医疗设备、随车设备费、包装费、安装调试费、运输费、培训费、技术服务费、质保期内的售后保障费等所有费用。</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b/>
          <w:bCs/>
          <w:sz w:val="24"/>
          <w:szCs w:val="24"/>
          <w:highlight w:val="none"/>
        </w:rPr>
      </w:pPr>
      <w:bookmarkStart w:id="140" w:name="_Toc31469763"/>
      <w:bookmarkStart w:id="141" w:name="_Toc31570514"/>
      <w:r>
        <w:rPr>
          <w:rFonts w:hint="eastAsia" w:ascii="宋体" w:hAnsi="宋体" w:cs="宋体"/>
          <w:b/>
          <w:bCs/>
          <w:sz w:val="24"/>
          <w:szCs w:val="24"/>
          <w:highlight w:val="none"/>
          <w:lang w:val="en-US" w:eastAsia="zh-CN"/>
        </w:rPr>
        <w:t>10</w:t>
      </w:r>
      <w:r>
        <w:rPr>
          <w:rFonts w:hint="eastAsia" w:ascii="宋体" w:hAnsi="宋体" w:eastAsia="宋体" w:cs="宋体"/>
          <w:b/>
          <w:bCs/>
          <w:sz w:val="24"/>
          <w:szCs w:val="24"/>
          <w:highlight w:val="none"/>
        </w:rPr>
        <w:t>、其他要求</w:t>
      </w:r>
      <w:bookmarkEnd w:id="140"/>
      <w:bookmarkEnd w:id="141"/>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10.1 </w:t>
      </w:r>
      <w:r>
        <w:rPr>
          <w:rFonts w:hint="eastAsia" w:ascii="宋体" w:hAnsi="宋体" w:eastAsia="宋体" w:cs="宋体"/>
          <w:sz w:val="24"/>
          <w:szCs w:val="24"/>
          <w:highlight w:val="none"/>
        </w:rPr>
        <w:t>在签订合同</w:t>
      </w:r>
      <w:r>
        <w:rPr>
          <w:rFonts w:hint="eastAsia" w:ascii="宋体" w:hAnsi="宋体" w:cs="宋体"/>
          <w:sz w:val="24"/>
          <w:szCs w:val="24"/>
          <w:highlight w:val="none"/>
          <w:lang w:val="en-US" w:eastAsia="zh-CN"/>
        </w:rPr>
        <w:t>前</w:t>
      </w:r>
      <w:r>
        <w:rPr>
          <w:rFonts w:hint="eastAsia" w:ascii="宋体" w:hAnsi="宋体" w:eastAsia="宋体" w:cs="宋体"/>
          <w:sz w:val="24"/>
          <w:szCs w:val="24"/>
          <w:highlight w:val="none"/>
        </w:rPr>
        <w:t>，采购人视情况有权要求中标</w:t>
      </w:r>
      <w:r>
        <w:rPr>
          <w:rFonts w:hint="eastAsia" w:ascii="宋体" w:hAnsi="宋体" w:cs="宋体"/>
          <w:sz w:val="24"/>
          <w:szCs w:val="24"/>
          <w:highlight w:val="none"/>
          <w:lang w:val="en-US" w:eastAsia="zh-CN"/>
        </w:rPr>
        <w:t>候选</w:t>
      </w:r>
      <w:r>
        <w:rPr>
          <w:rFonts w:hint="eastAsia" w:ascii="宋体" w:hAnsi="宋体" w:eastAsia="宋体" w:cs="宋体"/>
          <w:sz w:val="24"/>
          <w:szCs w:val="24"/>
          <w:highlight w:val="none"/>
        </w:rPr>
        <w:t>人提供符合性条款</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商务及技术评分项中涉及的证明资料（证书、报告等）原件进行复核，发现虚假应标，取消中标资格，同时加入政府采购黑名单，保留追究投标人违约责任的权力，并赔偿因项目延误所造成的损失。</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10.2</w:t>
      </w:r>
      <w:r>
        <w:rPr>
          <w:rFonts w:hint="eastAsia" w:ascii="宋体" w:hAnsi="宋体" w:eastAsia="宋体" w:cs="宋体"/>
          <w:sz w:val="24"/>
          <w:szCs w:val="24"/>
          <w:highlight w:val="none"/>
        </w:rPr>
        <w:t>中标人不得分包或转包他人，若发现分包或转包，采购人有权终止合同，并追究相应法律责任。中标人在合同期内未经采购人同意不得擅自中止合同。</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b/>
          <w:bCs/>
          <w:sz w:val="24"/>
          <w:szCs w:val="24"/>
          <w:highlight w:val="none"/>
        </w:rPr>
      </w:pPr>
      <w:bookmarkStart w:id="142" w:name="_Toc31570515"/>
      <w:bookmarkStart w:id="143" w:name="_Toc31469764"/>
      <w:r>
        <w:rPr>
          <w:rFonts w:hint="eastAsia" w:ascii="宋体" w:hAnsi="宋体" w:cs="宋体"/>
          <w:b/>
          <w:bCs/>
          <w:sz w:val="24"/>
          <w:szCs w:val="24"/>
          <w:highlight w:val="none"/>
          <w:lang w:val="en-US" w:eastAsia="zh-CN"/>
        </w:rPr>
        <w:t>11</w:t>
      </w:r>
      <w:r>
        <w:rPr>
          <w:rFonts w:hint="eastAsia" w:ascii="宋体" w:hAnsi="宋体" w:eastAsia="宋体" w:cs="宋体"/>
          <w:b/>
          <w:bCs/>
          <w:sz w:val="24"/>
          <w:szCs w:val="24"/>
          <w:highlight w:val="none"/>
        </w:rPr>
        <w:t>、违约责任</w:t>
      </w:r>
      <w:bookmarkEnd w:id="142"/>
      <w:bookmarkEnd w:id="143"/>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11.1 </w:t>
      </w:r>
      <w:r>
        <w:rPr>
          <w:rFonts w:hint="eastAsia" w:ascii="宋体" w:hAnsi="宋体" w:eastAsia="宋体" w:cs="宋体"/>
          <w:sz w:val="24"/>
          <w:szCs w:val="24"/>
          <w:highlight w:val="none"/>
        </w:rPr>
        <w:t>因中标人原因造成合同无法按时签订，视为中标人违约；若给采购人造成损失或不良影响的，采购人有权终止合同，由此造成的一切法律后果，中标人自行负责。</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11.2 </w:t>
      </w:r>
      <w:r>
        <w:rPr>
          <w:rFonts w:hint="eastAsia" w:ascii="宋体" w:hAnsi="宋体" w:eastAsia="宋体" w:cs="宋体"/>
          <w:sz w:val="24"/>
          <w:szCs w:val="24"/>
          <w:highlight w:val="none"/>
        </w:rPr>
        <w:t>在签</w:t>
      </w:r>
      <w:r>
        <w:rPr>
          <w:rFonts w:hint="eastAsia" w:ascii="宋体" w:hAnsi="宋体" w:cs="宋体"/>
          <w:sz w:val="24"/>
          <w:szCs w:val="24"/>
          <w:highlight w:val="none"/>
          <w:lang w:val="en-US" w:eastAsia="zh-CN"/>
        </w:rPr>
        <w:t>订</w:t>
      </w:r>
      <w:r>
        <w:rPr>
          <w:rFonts w:hint="eastAsia" w:ascii="宋体" w:hAnsi="宋体" w:eastAsia="宋体" w:cs="宋体"/>
          <w:sz w:val="24"/>
          <w:szCs w:val="24"/>
          <w:highlight w:val="none"/>
        </w:rPr>
        <w:t>合同之后，中标人要求解除合同，视为中标人违约，取消中标资格，同时加入政府采购黑名单及行业主管部门黑名单。</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11.3 </w:t>
      </w:r>
      <w:r>
        <w:rPr>
          <w:rFonts w:hint="eastAsia" w:ascii="宋体" w:hAnsi="宋体" w:eastAsia="宋体" w:cs="宋体"/>
          <w:sz w:val="24"/>
          <w:szCs w:val="24"/>
          <w:highlight w:val="none"/>
        </w:rPr>
        <w:t>在合同履行期间若中标人无法履行合同或履行中未按照响应招标文件及投标文件的内容进行实施或中途放弃履行合同，视为中标人违约，取消中标资格，同时加入政府采购黑名单及行业主管部门黑名单。</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11.4</w:t>
      </w:r>
      <w:r>
        <w:rPr>
          <w:rFonts w:hint="eastAsia" w:ascii="宋体" w:hAnsi="宋体" w:eastAsia="宋体" w:cs="宋体"/>
          <w:sz w:val="24"/>
          <w:szCs w:val="24"/>
          <w:highlight w:val="none"/>
        </w:rPr>
        <w:t>因中标人原因发生重大质量事故，除依约承担赔偿责任外，还将按有关法规执行。同时，采购人有权保留更换中标人的权利，并报相关行政主管部门处罚。</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11.5 </w:t>
      </w:r>
      <w:r>
        <w:rPr>
          <w:rFonts w:hint="eastAsia" w:ascii="宋体" w:hAnsi="宋体" w:eastAsia="宋体" w:cs="宋体"/>
          <w:sz w:val="24"/>
          <w:szCs w:val="24"/>
          <w:highlight w:val="none"/>
        </w:rPr>
        <w:t>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11.6</w:t>
      </w:r>
      <w:r>
        <w:rPr>
          <w:rFonts w:hint="eastAsia" w:ascii="宋体" w:hAnsi="宋体" w:eastAsia="宋体" w:cs="宋体"/>
          <w:sz w:val="24"/>
          <w:szCs w:val="24"/>
          <w:highlight w:val="none"/>
        </w:rPr>
        <w:t>中标人应按投标文件的承诺派遣相应专业技能的人员。</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11.7</w:t>
      </w:r>
      <w:r>
        <w:rPr>
          <w:rFonts w:hint="eastAsia" w:ascii="宋体" w:hAnsi="宋体" w:eastAsia="宋体" w:cs="宋体"/>
          <w:sz w:val="24"/>
          <w:szCs w:val="24"/>
          <w:highlight w:val="none"/>
        </w:rPr>
        <w:t>中标人未按期交货的违约责任</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如果中标人未能按合同规定的时间足额交货（不可抗力除外），须按合同规定支付延期交货违约金并赔偿由此给采购人造成的损失，同时采购人有权选择同意延长交货期还是不予延长交货期，采购人同意延长交货期的，延期交货的时间由双方另行确定。延期交货违约金按迟交货物金额的 1 ％（每日）计算，但延期交货违约金的支付总额不得超过迟交货物金额的30％。</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②若中标人逾期交货达30天（含30天）以上的，采购人有权单方面解除采购合同，中标人仍应按上述约定支付延期交货违约金。若因此给采购人造成损失的，中标人还应赔偿采购人所受的损失。</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③若中标人不能交货的，中标人应按货款的</w:t>
      </w:r>
      <w:r>
        <w:rPr>
          <w:rFonts w:hint="eastAsia" w:ascii="宋体" w:hAnsi="宋体" w:cs="宋体"/>
          <w:sz w:val="24"/>
          <w:szCs w:val="24"/>
          <w:highlight w:val="none"/>
          <w:lang w:val="en-US" w:eastAsia="zh-CN"/>
        </w:rPr>
        <w:t>40</w:t>
      </w:r>
      <w:r>
        <w:rPr>
          <w:rFonts w:hint="eastAsia" w:ascii="宋体" w:hAnsi="宋体" w:eastAsia="宋体" w:cs="宋体"/>
          <w:sz w:val="24"/>
          <w:szCs w:val="24"/>
          <w:highlight w:val="none"/>
        </w:rPr>
        <w:t>％向采购人支付违约金。若因此给采购人造成损失的，中标人还应赔偿采购人所受的损失。</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11.8中标人交付的货物未能通过最终验收的，按中标价格予以赔偿。</w:t>
      </w:r>
      <w:r>
        <w:rPr>
          <w:rFonts w:hint="eastAsia" w:ascii="宋体" w:hAnsi="宋体" w:eastAsia="宋体" w:cs="宋体"/>
          <w:sz w:val="24"/>
          <w:szCs w:val="24"/>
          <w:highlight w:val="none"/>
        </w:rPr>
        <w:t>若因此给采购人造成损失的，中标人还应赔偿采购人所受的损失。</w:t>
      </w:r>
    </w:p>
    <w:p>
      <w:pPr>
        <w:pStyle w:val="3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firstLine="276"/>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11.9中标人必须保证车辆顺利办理报牌手续，并提供售后维护配件和服务，否则按中标价格予以赔偿。</w:t>
      </w:r>
    </w:p>
    <w:p>
      <w:pPr>
        <w:pStyle w:val="38"/>
        <w:numPr>
          <w:ilvl w:val="0"/>
          <w:numId w:val="0"/>
        </w:numPr>
        <w:ind w:leftChars="0"/>
        <w:jc w:val="both"/>
        <w:outlineLvl w:val="9"/>
        <w:rPr>
          <w:rFonts w:hint="eastAsia"/>
          <w:highlight w:val="none"/>
          <w:lang w:val="en-US" w:eastAsia="zh-CN"/>
        </w:rPr>
      </w:pPr>
    </w:p>
    <w:bookmarkEnd w:id="128"/>
    <w:bookmarkEnd w:id="129"/>
    <w:bookmarkEnd w:id="130"/>
    <w:bookmarkEnd w:id="131"/>
    <w:bookmarkEnd w:id="132"/>
    <w:bookmarkEnd w:id="133"/>
    <w:bookmarkEnd w:id="134"/>
    <w:bookmarkEnd w:id="137"/>
    <w:bookmarkEnd w:id="138"/>
    <w:bookmarkEnd w:id="139"/>
    <w:p>
      <w:pPr>
        <w:keepNext w:val="0"/>
        <w:keepLines w:val="0"/>
        <w:pageBreakBefore w:val="0"/>
        <w:kinsoku/>
        <w:wordWrap/>
        <w:overflowPunct/>
        <w:topLinePunct w:val="0"/>
        <w:autoSpaceDE/>
        <w:autoSpaceDN/>
        <w:bidi w:val="0"/>
        <w:adjustRightInd/>
        <w:snapToGrid/>
        <w:spacing w:line="360" w:lineRule="auto"/>
        <w:ind w:firstLine="480"/>
        <w:jc w:val="center"/>
        <w:textAlignment w:val="auto"/>
        <w:outlineLvl w:val="0"/>
        <w:rPr>
          <w:rFonts w:ascii="微软雅黑" w:hAnsi="微软雅黑" w:eastAsia="微软雅黑" w:cs="微软雅黑"/>
          <w:i w:val="0"/>
          <w:caps w:val="0"/>
          <w:color w:val="000000"/>
          <w:spacing w:val="0"/>
          <w:sz w:val="27"/>
          <w:szCs w:val="27"/>
          <w:highlight w:val="none"/>
        </w:rPr>
      </w:pPr>
      <w:r>
        <w:rPr>
          <w:rFonts w:hint="eastAsia" w:ascii="宋体" w:hAnsi="宋体" w:eastAsia="宋体" w:cs="宋体"/>
          <w:bCs/>
          <w:color w:val="auto"/>
          <w:sz w:val="24"/>
          <w:highlight w:val="none"/>
        </w:rPr>
        <w:br w:type="page"/>
      </w:r>
      <w:bookmarkStart w:id="144" w:name="_Toc492718088"/>
      <w:bookmarkStart w:id="145" w:name="_Toc2926"/>
      <w:r>
        <w:rPr>
          <w:rFonts w:hint="eastAsia" w:ascii="宋体" w:hAnsi="宋体" w:eastAsia="宋体" w:cs="宋体"/>
          <w:b/>
          <w:bCs/>
          <w:color w:val="auto"/>
          <w:sz w:val="36"/>
          <w:szCs w:val="36"/>
          <w:highlight w:val="none"/>
        </w:rPr>
        <w:t xml:space="preserve">第四章  </w:t>
      </w:r>
      <w:bookmarkEnd w:id="144"/>
      <w:r>
        <w:rPr>
          <w:rFonts w:hint="eastAsia" w:ascii="宋体" w:hAnsi="宋体" w:cs="宋体"/>
          <w:b/>
          <w:bCs/>
          <w:color w:val="auto"/>
          <w:sz w:val="36"/>
          <w:szCs w:val="36"/>
          <w:highlight w:val="none"/>
          <w:lang w:eastAsia="zh-CN"/>
        </w:rPr>
        <w:t>政府采购合同（参考文本）</w:t>
      </w:r>
      <w:bookmarkEnd w:id="145"/>
      <w:r>
        <w:rPr>
          <w:rFonts w:hint="eastAsia" w:ascii="宋体" w:hAnsi="宋体" w:eastAsia="宋体" w:cs="宋体"/>
          <w:bCs/>
          <w:color w:val="auto"/>
          <w:sz w:val="24"/>
          <w:szCs w:val="32"/>
          <w:highlight w:val="none"/>
        </w:rPr>
        <w:t xml:space="preserve">                                               </w:t>
      </w:r>
      <w:r>
        <w:rPr>
          <w:rFonts w:hint="eastAsia" w:ascii="宋体" w:hAnsi="宋体" w:eastAsia="宋体" w:cs="宋体"/>
          <w:bCs/>
          <w:color w:val="auto"/>
          <w:szCs w:val="21"/>
          <w:highlight w:val="none"/>
        </w:rPr>
        <w:t xml:space="preserve">      </w:t>
      </w:r>
      <w:r>
        <w:rPr>
          <w:rFonts w:hint="eastAsia" w:ascii="宋体" w:hAnsi="宋体" w:eastAsia="宋体" w:cs="宋体"/>
          <w:bCs/>
          <w:color w:val="auto"/>
          <w:sz w:val="24"/>
          <w:highlight w:val="none"/>
        </w:rPr>
        <w:t xml:space="preserve">                                                                                                                                                                                                                                        </w:t>
      </w:r>
    </w:p>
    <w:p>
      <w:pPr>
        <w:pStyle w:val="36"/>
        <w:keepNext w:val="0"/>
        <w:keepLines w:val="0"/>
        <w:widowControl/>
        <w:suppressLineNumbers w:val="0"/>
        <w:spacing w:before="60" w:beforeAutospacing="0" w:after="60" w:afterAutospacing="0"/>
        <w:ind w:left="0" w:right="0" w:firstLine="0"/>
        <w:rPr>
          <w:rFonts w:hint="eastAsia" w:ascii="微软雅黑" w:hAnsi="微软雅黑" w:eastAsia="微软雅黑" w:cs="微软雅黑"/>
          <w:i w:val="0"/>
          <w:caps w:val="0"/>
          <w:color w:val="000000"/>
          <w:spacing w:val="0"/>
          <w:sz w:val="27"/>
          <w:szCs w:val="27"/>
          <w:highlight w:val="none"/>
        </w:rPr>
      </w:pPr>
      <w:r>
        <w:rPr>
          <w:rFonts w:hint="eastAsia" w:ascii="宋体" w:hAnsi="宋体" w:eastAsia="宋体" w:cs="宋体"/>
          <w:i w:val="0"/>
          <w:caps w:val="0"/>
          <w:color w:val="000000"/>
          <w:spacing w:val="0"/>
          <w:sz w:val="19"/>
          <w:szCs w:val="19"/>
          <w:highlight w:val="none"/>
        </w:rPr>
        <w:t> </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caps w:val="0"/>
          <w:color w:val="000000"/>
          <w:spacing w:val="0"/>
          <w:sz w:val="24"/>
          <w:szCs w:val="24"/>
          <w:highlight w:val="none"/>
        </w:rPr>
      </w:pPr>
      <w:r>
        <w:rPr>
          <w:rStyle w:val="43"/>
          <w:rFonts w:hint="eastAsia" w:ascii="宋体" w:hAnsi="宋体" w:eastAsia="宋体" w:cs="宋体"/>
          <w:i w:val="0"/>
          <w:caps w:val="0"/>
          <w:color w:val="000000"/>
          <w:spacing w:val="0"/>
          <w:sz w:val="24"/>
          <w:szCs w:val="24"/>
          <w:highlight w:val="none"/>
        </w:rPr>
        <w:t>编制说明</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Style w:val="43"/>
          <w:rFonts w:hint="eastAsia" w:ascii="宋体" w:hAnsi="宋体" w:eastAsia="宋体" w:cs="宋体"/>
          <w:i w:val="0"/>
          <w:caps w:val="0"/>
          <w:color w:val="000000"/>
          <w:spacing w:val="0"/>
          <w:sz w:val="24"/>
          <w:szCs w:val="24"/>
          <w:highlight w:val="none"/>
        </w:rPr>
        <w:t>1、签订合同应遵守政府采购法、合同法。</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Style w:val="43"/>
          <w:rFonts w:hint="eastAsia" w:ascii="宋体" w:hAnsi="宋体" w:eastAsia="宋体" w:cs="宋体"/>
          <w:i w:val="0"/>
          <w:caps w:val="0"/>
          <w:color w:val="000000"/>
          <w:spacing w:val="0"/>
          <w:sz w:val="24"/>
          <w:szCs w:val="24"/>
          <w:highlight w:val="none"/>
        </w:rPr>
        <w:t>2、签订合同时，采购人与中标人应结合招标文件第</w:t>
      </w:r>
      <w:r>
        <w:rPr>
          <w:rStyle w:val="43"/>
          <w:rFonts w:hint="eastAsia" w:ascii="宋体" w:hAnsi="宋体" w:cs="宋体"/>
          <w:i w:val="0"/>
          <w:caps w:val="0"/>
          <w:color w:val="000000"/>
          <w:spacing w:val="0"/>
          <w:sz w:val="24"/>
          <w:szCs w:val="24"/>
          <w:highlight w:val="none"/>
          <w:lang w:eastAsia="zh-CN"/>
        </w:rPr>
        <w:t>三</w:t>
      </w:r>
      <w:r>
        <w:rPr>
          <w:rStyle w:val="43"/>
          <w:rFonts w:hint="eastAsia" w:ascii="宋体" w:hAnsi="宋体" w:eastAsia="宋体" w:cs="宋体"/>
          <w:i w:val="0"/>
          <w:caps w:val="0"/>
          <w:color w:val="000000"/>
          <w:spacing w:val="0"/>
          <w:sz w:val="24"/>
          <w:szCs w:val="24"/>
          <w:highlight w:val="none"/>
        </w:rPr>
        <w:t>章规定填列相应内容。招标文件第</w:t>
      </w:r>
      <w:r>
        <w:rPr>
          <w:rStyle w:val="43"/>
          <w:rFonts w:hint="eastAsia" w:ascii="宋体" w:hAnsi="宋体" w:cs="宋体"/>
          <w:i w:val="0"/>
          <w:caps w:val="0"/>
          <w:color w:val="000000"/>
          <w:spacing w:val="0"/>
          <w:sz w:val="24"/>
          <w:szCs w:val="24"/>
          <w:highlight w:val="none"/>
          <w:lang w:eastAsia="zh-CN"/>
        </w:rPr>
        <w:t>三</w:t>
      </w:r>
      <w:r>
        <w:rPr>
          <w:rStyle w:val="43"/>
          <w:rFonts w:hint="eastAsia" w:ascii="宋体" w:hAnsi="宋体" w:eastAsia="宋体" w:cs="宋体"/>
          <w:i w:val="0"/>
          <w:caps w:val="0"/>
          <w:color w:val="000000"/>
          <w:spacing w:val="0"/>
          <w:sz w:val="24"/>
          <w:szCs w:val="24"/>
          <w:highlight w:val="none"/>
        </w:rPr>
        <w:t>章已有规定的，双方均不得变更或调整；招标文件第五章未作规定的，双方可通过友好协商进行约定。</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Style w:val="43"/>
          <w:rFonts w:hint="eastAsia" w:ascii="宋体" w:hAnsi="宋体" w:eastAsia="宋体" w:cs="宋体"/>
          <w:i w:val="0"/>
          <w:caps w:val="0"/>
          <w:color w:val="000000"/>
          <w:spacing w:val="0"/>
          <w:sz w:val="24"/>
          <w:szCs w:val="24"/>
          <w:highlight w:val="none"/>
        </w:rPr>
        <w:t>3、国家有关部门对若干合同有规范文本的，可使用相应合同文本。</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甲方：</w:t>
      </w:r>
      <w:r>
        <w:rPr>
          <w:rFonts w:hint="eastAsia" w:ascii="宋体" w:hAnsi="宋体" w:eastAsia="宋体" w:cs="宋体"/>
          <w:i w:val="0"/>
          <w:caps w:val="0"/>
          <w:color w:val="000000"/>
          <w:spacing w:val="0"/>
          <w:sz w:val="24"/>
          <w:szCs w:val="24"/>
          <w:highlight w:val="none"/>
          <w:u w:val="single"/>
        </w:rPr>
        <w:t>（采购人全称）</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乙方：</w:t>
      </w:r>
      <w:r>
        <w:rPr>
          <w:rFonts w:hint="eastAsia" w:ascii="宋体" w:hAnsi="宋体" w:eastAsia="宋体" w:cs="宋体"/>
          <w:i w:val="0"/>
          <w:caps w:val="0"/>
          <w:color w:val="000000"/>
          <w:spacing w:val="0"/>
          <w:sz w:val="24"/>
          <w:szCs w:val="24"/>
          <w:highlight w:val="none"/>
          <w:u w:val="single"/>
        </w:rPr>
        <w:t>（中标人全称）</w:t>
      </w:r>
      <w:r>
        <w:rPr>
          <w:rFonts w:hint="eastAsia" w:ascii="宋体" w:hAnsi="宋体" w:eastAsia="宋体" w:cs="宋体"/>
          <w:i w:val="0"/>
          <w:caps w:val="0"/>
          <w:color w:val="000000"/>
          <w:spacing w:val="0"/>
          <w:sz w:val="24"/>
          <w:szCs w:val="24"/>
          <w:highlight w:val="none"/>
        </w:rPr>
        <w:t> </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根据招标编号为</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的</w:t>
      </w:r>
      <w:r>
        <w:rPr>
          <w:rFonts w:hint="eastAsia" w:ascii="宋体" w:hAnsi="宋体" w:eastAsia="宋体" w:cs="宋体"/>
          <w:i w:val="0"/>
          <w:caps w:val="0"/>
          <w:color w:val="000000"/>
          <w:spacing w:val="0"/>
          <w:sz w:val="24"/>
          <w:szCs w:val="24"/>
          <w:highlight w:val="none"/>
          <w:u w:val="single"/>
        </w:rPr>
        <w:t>（填写“项目名称”）</w:t>
      </w:r>
      <w:r>
        <w:rPr>
          <w:rFonts w:hint="eastAsia" w:ascii="宋体" w:hAnsi="宋体" w:eastAsia="宋体" w:cs="宋体"/>
          <w:i w:val="0"/>
          <w:caps w:val="0"/>
          <w:color w:val="000000"/>
          <w:spacing w:val="0"/>
          <w:sz w:val="24"/>
          <w:szCs w:val="24"/>
          <w:highlight w:val="none"/>
        </w:rPr>
        <w:t>项目（以下简称：“本项目”）的招标结果，乙方为中标人。现经甲乙双方友好协商，就以下事项达成一致并签订本合同：</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1、下列合同文件是构成本合同不可分割的部分：</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1.1合同条款；</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1.2招标文件、乙方的投标文件；</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1.3其他文件或材料：□无。□</w:t>
      </w:r>
      <w:r>
        <w:rPr>
          <w:rFonts w:hint="eastAsia" w:ascii="宋体" w:hAnsi="宋体" w:eastAsia="宋体" w:cs="宋体"/>
          <w:i w:val="0"/>
          <w:caps w:val="0"/>
          <w:color w:val="000000"/>
          <w:spacing w:val="0"/>
          <w:sz w:val="24"/>
          <w:szCs w:val="24"/>
          <w:highlight w:val="none"/>
          <w:u w:val="single"/>
        </w:rPr>
        <w:t>（按照实际情况编制填写需要增加的内容）</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2、合同标的</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u w:val="single"/>
        </w:rPr>
        <w:t>（按照实际情况编制填写，可以是表格或文字描述）</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3、合同总金额</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3.1合同总金额为人民币大写：</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元（￥</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4、合同标的交付时间、地点和条件</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4.1交付时间：</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4.2交付地点：</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4.3交付条件：</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5、合同标的应符合招标文件、乙方投标文件的规定或约定，具体如下：</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u w:val="single"/>
        </w:rPr>
        <w:t>（按照实际情况编制填写，可以是表格或文字描述）</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6、验收</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6.1验收应按照招标文件、乙方投标文件的规定或约定进行，具体如下：</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u w:val="single"/>
        </w:rPr>
        <w:t>（按照实际情况编制填写，可以是表格或文字描述）</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6.2本项目是否邀请其他投标人参与验收：</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□不邀请。□邀请，具体如下：</w:t>
      </w:r>
      <w:r>
        <w:rPr>
          <w:rFonts w:hint="eastAsia" w:ascii="宋体" w:hAnsi="宋体" w:eastAsia="宋体" w:cs="宋体"/>
          <w:i w:val="0"/>
          <w:caps w:val="0"/>
          <w:color w:val="000000"/>
          <w:spacing w:val="0"/>
          <w:sz w:val="24"/>
          <w:szCs w:val="24"/>
          <w:highlight w:val="none"/>
          <w:u w:val="single"/>
        </w:rPr>
        <w:t>（按照招标文件规定填写）</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7、合同款项的支付应按照招标文件的规定进行，具体如下：</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u w:val="single"/>
        </w:rPr>
        <w:t>（按照实际情况编制填写，可以是表格或文字描述，包括一次性支付或分期支付等）</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8、履约保证金</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□无。□有，具体如下：</w:t>
      </w:r>
      <w:r>
        <w:rPr>
          <w:rFonts w:hint="eastAsia" w:ascii="宋体" w:hAnsi="宋体" w:eastAsia="宋体" w:cs="宋体"/>
          <w:i w:val="0"/>
          <w:caps w:val="0"/>
          <w:color w:val="000000"/>
          <w:spacing w:val="0"/>
          <w:sz w:val="24"/>
          <w:szCs w:val="24"/>
          <w:highlight w:val="none"/>
          <w:u w:val="single"/>
        </w:rPr>
        <w:t>（按照招标文件规定填写）</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9、合同有效期</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u w:val="single"/>
        </w:rPr>
        <w:t>（按照实际情况编制填写，可以是表格或文字描述）</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10、违约责任</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u w:val="single"/>
        </w:rPr>
        <w:t>（按照实际情况编制填写，可以是表格或文字描述）</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11、知识产权</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caps w:val="0"/>
          <w:color w:val="000000"/>
          <w:spacing w:val="0"/>
          <w:sz w:val="24"/>
          <w:szCs w:val="24"/>
          <w:highlight w:val="none"/>
          <w:u w:val="single"/>
        </w:rPr>
        <w:t>（按照实际情况编制填写）</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12、解决争议的方法</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12.1甲、乙双方协商解决。</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12.2若协商解决不成，则通过下列途径之一解决：</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□提交仲裁委员会仲裁，具体如下：</w:t>
      </w:r>
      <w:r>
        <w:rPr>
          <w:rFonts w:hint="eastAsia" w:ascii="宋体" w:hAnsi="宋体" w:eastAsia="宋体" w:cs="宋体"/>
          <w:i w:val="0"/>
          <w:caps w:val="0"/>
          <w:color w:val="000000"/>
          <w:spacing w:val="0"/>
          <w:sz w:val="24"/>
          <w:szCs w:val="24"/>
          <w:highlight w:val="none"/>
          <w:u w:val="single"/>
        </w:rPr>
        <w:t>（按照实际情况编制填写）</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□向人民法院提起诉讼，具体如下：</w:t>
      </w:r>
      <w:r>
        <w:rPr>
          <w:rFonts w:hint="eastAsia" w:ascii="宋体" w:hAnsi="宋体" w:eastAsia="宋体" w:cs="宋体"/>
          <w:i w:val="0"/>
          <w:caps w:val="0"/>
          <w:color w:val="000000"/>
          <w:spacing w:val="0"/>
          <w:sz w:val="24"/>
          <w:szCs w:val="24"/>
          <w:highlight w:val="none"/>
          <w:u w:val="single"/>
        </w:rPr>
        <w:t>（按照实际情况编制填写）</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13、不可抗力</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14、合同条款</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i w:val="0"/>
          <w:caps w:val="0"/>
          <w:color w:val="000000"/>
          <w:spacing w:val="0"/>
          <w:sz w:val="24"/>
          <w:szCs w:val="24"/>
          <w:highlight w:val="none"/>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15、其他约定</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15.1合同文件与本合同具有同等法律效力。</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15.2本合同未尽事宜，双方可另行补充。</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15.4本合同一式</w:t>
      </w:r>
      <w:r>
        <w:rPr>
          <w:rFonts w:hint="eastAsia" w:ascii="宋体" w:hAnsi="宋体" w:eastAsia="宋体" w:cs="宋体"/>
          <w:i w:val="0"/>
          <w:caps w:val="0"/>
          <w:color w:val="000000"/>
          <w:spacing w:val="0"/>
          <w:sz w:val="24"/>
          <w:szCs w:val="24"/>
          <w:highlight w:val="none"/>
          <w:u w:val="single"/>
        </w:rPr>
        <w:t>（填写具体份数）</w:t>
      </w:r>
      <w:r>
        <w:rPr>
          <w:rFonts w:hint="eastAsia" w:ascii="宋体" w:hAnsi="宋体" w:eastAsia="宋体" w:cs="宋体"/>
          <w:i w:val="0"/>
          <w:caps w:val="0"/>
          <w:color w:val="000000"/>
          <w:spacing w:val="0"/>
          <w:sz w:val="24"/>
          <w:szCs w:val="24"/>
          <w:highlight w:val="none"/>
        </w:rPr>
        <w:t>份，经双方授权代表签字并盖章后生效。甲方、乙方各执</w:t>
      </w:r>
      <w:r>
        <w:rPr>
          <w:rFonts w:hint="eastAsia" w:ascii="宋体" w:hAnsi="宋体" w:eastAsia="宋体" w:cs="宋体"/>
          <w:i w:val="0"/>
          <w:caps w:val="0"/>
          <w:color w:val="000000"/>
          <w:spacing w:val="0"/>
          <w:sz w:val="24"/>
          <w:szCs w:val="24"/>
          <w:highlight w:val="none"/>
          <w:u w:val="single"/>
        </w:rPr>
        <w:t>（填写具体份数）</w:t>
      </w:r>
      <w:r>
        <w:rPr>
          <w:rFonts w:hint="eastAsia" w:ascii="宋体" w:hAnsi="宋体" w:eastAsia="宋体" w:cs="宋体"/>
          <w:i w:val="0"/>
          <w:caps w:val="0"/>
          <w:color w:val="000000"/>
          <w:spacing w:val="0"/>
          <w:sz w:val="24"/>
          <w:szCs w:val="24"/>
          <w:highlight w:val="none"/>
        </w:rPr>
        <w:t>份，送</w:t>
      </w:r>
      <w:r>
        <w:rPr>
          <w:rFonts w:hint="eastAsia" w:ascii="宋体" w:hAnsi="宋体" w:eastAsia="宋体" w:cs="宋体"/>
          <w:i w:val="0"/>
          <w:caps w:val="0"/>
          <w:color w:val="000000"/>
          <w:spacing w:val="0"/>
          <w:sz w:val="24"/>
          <w:szCs w:val="24"/>
          <w:highlight w:val="none"/>
          <w:u w:val="single"/>
        </w:rPr>
        <w:t>（填写需要备案的监管部门的全称）</w:t>
      </w:r>
      <w:r>
        <w:rPr>
          <w:rFonts w:hint="eastAsia" w:ascii="宋体" w:hAnsi="宋体" w:eastAsia="宋体" w:cs="宋体"/>
          <w:i w:val="0"/>
          <w:caps w:val="0"/>
          <w:color w:val="000000"/>
          <w:spacing w:val="0"/>
          <w:sz w:val="24"/>
          <w:szCs w:val="24"/>
          <w:highlight w:val="none"/>
        </w:rPr>
        <w:t>备案</w:t>
      </w:r>
      <w:r>
        <w:rPr>
          <w:rFonts w:hint="eastAsia" w:ascii="宋体" w:hAnsi="宋体" w:eastAsia="宋体" w:cs="宋体"/>
          <w:i w:val="0"/>
          <w:caps w:val="0"/>
          <w:color w:val="000000"/>
          <w:spacing w:val="0"/>
          <w:sz w:val="24"/>
          <w:szCs w:val="24"/>
          <w:highlight w:val="none"/>
          <w:u w:val="single"/>
        </w:rPr>
        <w:t>（填写具体份数）</w:t>
      </w:r>
      <w:r>
        <w:rPr>
          <w:rFonts w:hint="eastAsia" w:ascii="宋体" w:hAnsi="宋体" w:eastAsia="宋体" w:cs="宋体"/>
          <w:i w:val="0"/>
          <w:caps w:val="0"/>
          <w:color w:val="000000"/>
          <w:spacing w:val="0"/>
          <w:sz w:val="24"/>
          <w:szCs w:val="24"/>
          <w:highlight w:val="none"/>
        </w:rPr>
        <w:t>份，具有同等效力。</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15.5其他：□无。□</w:t>
      </w:r>
      <w:r>
        <w:rPr>
          <w:rFonts w:hint="eastAsia" w:ascii="宋体" w:hAnsi="宋体" w:eastAsia="宋体" w:cs="宋体"/>
          <w:i w:val="0"/>
          <w:caps w:val="0"/>
          <w:color w:val="000000"/>
          <w:spacing w:val="0"/>
          <w:sz w:val="24"/>
          <w:szCs w:val="24"/>
          <w:highlight w:val="none"/>
          <w:u w:val="single"/>
        </w:rPr>
        <w:t>（按照实际情况编制填写需要增加的内容）</w:t>
      </w:r>
      <w:r>
        <w:rPr>
          <w:rFonts w:hint="eastAsia" w:ascii="宋体" w:hAnsi="宋体" w:eastAsia="宋体" w:cs="宋体"/>
          <w:i w:val="0"/>
          <w:caps w:val="0"/>
          <w:color w:val="000000"/>
          <w:spacing w:val="0"/>
          <w:sz w:val="24"/>
          <w:szCs w:val="24"/>
          <w:highlight w:val="none"/>
        </w:rPr>
        <w:t>。</w:t>
      </w:r>
    </w:p>
    <w:p>
      <w:pP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br w:type="page"/>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84"/>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（以下无正文）</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 </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 </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甲方：                      乙方：</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住所：                      住所：</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单位负责人：                   单位负责人：</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 </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委托代理人：                   委托代理人：</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 </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联系方法：                    联系方法：</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开户银行：                    开户银行：</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账号：                      账号：</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 </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签订地点：</w:t>
      </w:r>
      <w:r>
        <w:rPr>
          <w:rFonts w:hint="eastAsia" w:ascii="宋体" w:hAnsi="宋体" w:eastAsia="宋体" w:cs="宋体"/>
          <w:i w:val="0"/>
          <w:caps w:val="0"/>
          <w:color w:val="000000"/>
          <w:spacing w:val="0"/>
          <w:sz w:val="24"/>
          <w:szCs w:val="24"/>
          <w:highlight w:val="none"/>
          <w:u w:val="single"/>
        </w:rPr>
        <w:t>                </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签订日期：</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年</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月</w:t>
      </w:r>
      <w:r>
        <w:rPr>
          <w:rFonts w:hint="eastAsia" w:ascii="宋体" w:hAnsi="宋体" w:eastAsia="宋体" w:cs="宋体"/>
          <w:i w:val="0"/>
          <w:caps w:val="0"/>
          <w:color w:val="000000"/>
          <w:spacing w:val="0"/>
          <w:sz w:val="24"/>
          <w:szCs w:val="24"/>
          <w:highlight w:val="none"/>
          <w:u w:val="single"/>
        </w:rPr>
        <w:t>   </w:t>
      </w:r>
      <w:r>
        <w:rPr>
          <w:rFonts w:hint="eastAsia" w:ascii="宋体" w:hAnsi="宋体" w:eastAsia="宋体" w:cs="宋体"/>
          <w:i w:val="0"/>
          <w:caps w:val="0"/>
          <w:color w:val="000000"/>
          <w:spacing w:val="0"/>
          <w:sz w:val="24"/>
          <w:szCs w:val="24"/>
          <w:highlight w:val="none"/>
        </w:rPr>
        <w:t>日</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b/>
          <w:color w:val="auto"/>
          <w:sz w:val="48"/>
          <w:szCs w:val="48"/>
          <w:highlight w:val="none"/>
        </w:rPr>
      </w:pPr>
      <w:r>
        <w:rPr>
          <w:rFonts w:hint="eastAsia" w:asciiTheme="minorEastAsia" w:hAnsiTheme="minorEastAsia" w:eastAsiaTheme="minorEastAsia" w:cstheme="minorEastAsia"/>
          <w:color w:val="auto"/>
          <w:sz w:val="24"/>
          <w:szCs w:val="24"/>
          <w:highlight w:val="none"/>
        </w:rPr>
        <w:br w:type="page"/>
      </w: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b/>
          <w:color w:val="auto"/>
          <w:sz w:val="48"/>
          <w:szCs w:val="48"/>
          <w:highlight w:val="none"/>
        </w:rPr>
      </w:pPr>
    </w:p>
    <w:p>
      <w:pPr>
        <w:keepNext w:val="0"/>
        <w:keepLines w:val="0"/>
        <w:pageBreakBefore w:val="0"/>
        <w:kinsoku/>
        <w:overflowPunct/>
        <w:autoSpaceDE/>
        <w:autoSpaceDN/>
        <w:bidi w:val="0"/>
        <w:spacing w:line="360" w:lineRule="auto"/>
        <w:jc w:val="center"/>
        <w:textAlignment w:val="auto"/>
        <w:outlineLvl w:val="0"/>
        <w:rPr>
          <w:rFonts w:hint="eastAsia" w:ascii="宋体" w:hAnsi="宋体" w:eastAsia="宋体" w:cs="宋体"/>
          <w:b/>
          <w:color w:val="auto"/>
          <w:sz w:val="52"/>
          <w:szCs w:val="52"/>
          <w:highlight w:val="none"/>
        </w:rPr>
      </w:pPr>
      <w:bookmarkStart w:id="146" w:name="_Toc492718104"/>
      <w:bookmarkStart w:id="147" w:name="_Toc14448"/>
      <w:r>
        <w:rPr>
          <w:rFonts w:hint="eastAsia" w:ascii="宋体" w:hAnsi="宋体" w:eastAsia="宋体" w:cs="宋体"/>
          <w:b/>
          <w:color w:val="auto"/>
          <w:sz w:val="52"/>
          <w:szCs w:val="52"/>
          <w:highlight w:val="none"/>
        </w:rPr>
        <w:t>第五章  投标文件格式</w:t>
      </w:r>
      <w:bookmarkEnd w:id="146"/>
      <w:bookmarkEnd w:id="147"/>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u w:val="single"/>
        </w:rPr>
      </w:pPr>
    </w:p>
    <w:p>
      <w:pPr>
        <w:pageBreakBefore w:val="0"/>
        <w:kinsoku/>
        <w:overflowPunct/>
        <w:bidi w:val="0"/>
        <w:spacing w:line="360" w:lineRule="auto"/>
        <w:jc w:val="left"/>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注释： </w:t>
      </w:r>
    </w:p>
    <w:p>
      <w:pPr>
        <w:pageBreakBefore w:val="0"/>
        <w:kinsoku/>
        <w:overflowPunct/>
        <w:bidi w:val="0"/>
        <w:spacing w:line="360" w:lineRule="auto"/>
        <w:ind w:firstLine="480" w:firstLineChars="200"/>
        <w:jc w:val="left"/>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1、本附件格式分“资格</w:t>
      </w:r>
      <w:r>
        <w:rPr>
          <w:rFonts w:hint="eastAsia" w:ascii="宋体" w:hAnsi="宋体" w:eastAsia="宋体" w:cs="宋体"/>
          <w:color w:val="auto"/>
          <w:sz w:val="24"/>
          <w:szCs w:val="24"/>
          <w:highlight w:val="none"/>
        </w:rPr>
        <w:t>及资信证明部分格式”</w:t>
      </w:r>
      <w:r>
        <w:rPr>
          <w:rFonts w:hint="eastAsia" w:ascii="宋体" w:hAnsi="宋体" w:eastAsia="宋体" w:cs="宋体"/>
          <w:color w:val="000000"/>
          <w:sz w:val="24"/>
          <w:szCs w:val="24"/>
          <w:highlight w:val="none"/>
        </w:rPr>
        <w:t xml:space="preserve">、“报价部分格式”和 “技术商务部分格式” </w:t>
      </w:r>
      <w:r>
        <w:rPr>
          <w:rFonts w:hint="eastAsia" w:ascii="宋体" w:hAnsi="宋体" w:eastAsia="宋体" w:cs="宋体"/>
          <w:b/>
          <w:bCs/>
          <w:color w:val="000000"/>
          <w:sz w:val="24"/>
          <w:szCs w:val="24"/>
          <w:highlight w:val="none"/>
        </w:rPr>
        <w:t>叁册</w:t>
      </w:r>
      <w:r>
        <w:rPr>
          <w:rFonts w:hint="eastAsia" w:ascii="宋体" w:hAnsi="宋体" w:eastAsia="宋体" w:cs="宋体"/>
          <w:color w:val="000000"/>
          <w:sz w:val="24"/>
          <w:szCs w:val="24"/>
          <w:highlight w:val="none"/>
        </w:rPr>
        <w:t>，装订时要求资格及</w:t>
      </w:r>
      <w:r>
        <w:rPr>
          <w:rFonts w:hint="eastAsia" w:ascii="宋体" w:hAnsi="宋体" w:eastAsia="宋体" w:cs="宋体"/>
          <w:color w:val="auto"/>
          <w:sz w:val="24"/>
          <w:szCs w:val="24"/>
          <w:highlight w:val="none"/>
        </w:rPr>
        <w:t>资信证明部分</w:t>
      </w:r>
      <w:r>
        <w:rPr>
          <w:rFonts w:hint="eastAsia" w:ascii="宋体" w:hAnsi="宋体" w:eastAsia="宋体" w:cs="宋体"/>
          <w:color w:val="000000"/>
          <w:sz w:val="24"/>
          <w:szCs w:val="24"/>
          <w:highlight w:val="none"/>
        </w:rPr>
        <w:t>、报价部分和技术商务部分均须单独胶装装订。</w:t>
      </w:r>
    </w:p>
    <w:p>
      <w:pPr>
        <w:pageBreakBefore w:val="0"/>
        <w:kinsoku/>
        <w:overflowPunct/>
        <w:bidi w:val="0"/>
        <w:spacing w:line="360" w:lineRule="auto"/>
        <w:ind w:firstLine="480" w:firstLineChars="200"/>
        <w:jc w:val="left"/>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2、附件格式仅供制作投标文件时参考，投标人应根据行业特点，结合本次招标技术规格要求，对有关表格进行补充或修改，但不得对实质性文件的相关条款作出变动。</w:t>
      </w:r>
    </w:p>
    <w:p>
      <w:pPr>
        <w:pStyle w:val="36"/>
        <w:pageBreakBefore w:val="0"/>
        <w:kinsoku/>
        <w:overflowPunct/>
        <w:bidi w:val="0"/>
        <w:spacing w:before="0" w:beforeLines="0" w:beforeAutospacing="0" w:after="0" w:afterLines="0" w:afterAutospacing="0" w:line="360" w:lineRule="auto"/>
        <w:outlineLvl w:val="9"/>
        <w:rPr>
          <w:rFonts w:hint="eastAsia" w:ascii="宋体" w:hAnsi="宋体" w:eastAsia="宋体" w:cs="宋体"/>
          <w:b/>
          <w:bCs/>
          <w:color w:val="000000"/>
          <w:sz w:val="24"/>
          <w:szCs w:val="24"/>
          <w:highlight w:val="none"/>
        </w:rPr>
      </w:pPr>
    </w:p>
    <w:p>
      <w:pPr>
        <w:pStyle w:val="36"/>
        <w:pageBreakBefore w:val="0"/>
        <w:kinsoku/>
        <w:overflowPunct/>
        <w:bidi w:val="0"/>
        <w:spacing w:before="0" w:beforeLines="0" w:beforeAutospacing="0" w:after="0" w:afterLines="0" w:afterAutospacing="0" w:line="360" w:lineRule="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★注意：</w:t>
      </w:r>
    </w:p>
    <w:p>
      <w:pPr>
        <w:pStyle w:val="36"/>
        <w:pageBreakBefore w:val="0"/>
        <w:kinsoku/>
        <w:overflowPunct/>
        <w:bidi w:val="0"/>
        <w:spacing w:before="0" w:beforeLines="0" w:beforeAutospacing="0" w:after="0" w:afterLines="0" w:afterAutospacing="0" w:line="360" w:lineRule="auto"/>
        <w:outlineLvl w:val="9"/>
        <w:rPr>
          <w:rFonts w:hint="eastAsia" w:ascii="宋体" w:hAnsi="宋体" w:eastAsia="宋体" w:cs="宋体"/>
          <w:b/>
          <w:bCs/>
          <w:color w:val="000000"/>
          <w:sz w:val="24"/>
          <w:szCs w:val="24"/>
          <w:highlight w:val="none"/>
        </w:rPr>
      </w:pPr>
      <w:bookmarkStart w:id="148" w:name="_Toc4122"/>
      <w:r>
        <w:rPr>
          <w:rFonts w:hint="eastAsia" w:ascii="宋体" w:hAnsi="宋体" w:eastAsia="宋体" w:cs="宋体"/>
          <w:b/>
          <w:bCs/>
          <w:color w:val="000000"/>
          <w:sz w:val="24"/>
          <w:szCs w:val="24"/>
          <w:highlight w:val="none"/>
        </w:rPr>
        <w:t>1.投标人在编制投标文件时，应编制目录、页码；</w:t>
      </w:r>
      <w:bookmarkEnd w:id="148"/>
    </w:p>
    <w:p>
      <w:pPr>
        <w:pStyle w:val="36"/>
        <w:pageBreakBefore w:val="0"/>
        <w:kinsoku/>
        <w:overflowPunct/>
        <w:bidi w:val="0"/>
        <w:spacing w:before="0" w:beforeLines="0" w:beforeAutospacing="0" w:after="0" w:afterLines="0" w:afterAutospacing="0" w:line="360" w:lineRule="auto"/>
        <w:outlineLvl w:val="9"/>
        <w:rPr>
          <w:rFonts w:hint="eastAsia" w:ascii="宋体" w:hAnsi="宋体" w:eastAsia="宋体" w:cs="宋体"/>
          <w:b/>
          <w:bCs/>
          <w:color w:val="000000"/>
          <w:sz w:val="24"/>
          <w:szCs w:val="24"/>
          <w:highlight w:val="none"/>
        </w:rPr>
      </w:pPr>
      <w:bookmarkStart w:id="149" w:name="_Toc7789"/>
      <w:r>
        <w:rPr>
          <w:rFonts w:hint="eastAsia" w:ascii="宋体" w:hAnsi="宋体" w:eastAsia="宋体" w:cs="宋体"/>
          <w:b/>
          <w:bCs/>
          <w:color w:val="000000"/>
          <w:sz w:val="24"/>
          <w:szCs w:val="24"/>
          <w:highlight w:val="none"/>
        </w:rPr>
        <w:t>2.投标人在编制投标文件时，应删除格式中“★注意” 等提示性的语言。</w:t>
      </w:r>
      <w:bookmarkEnd w:id="149"/>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u w:val="single"/>
        </w:rPr>
      </w:pPr>
    </w:p>
    <w:p>
      <w:pPr>
        <w:pageBreakBefore w:val="0"/>
        <w:kinsoku/>
        <w:overflowPunct/>
        <w:topLinePunct w:val="0"/>
        <w:autoSpaceDE/>
        <w:autoSpaceDN/>
        <w:bidi w:val="0"/>
        <w:adjustRightInd/>
        <w:spacing w:beforeAutospacing="0" w:afterAutospacing="0" w:line="360" w:lineRule="auto"/>
        <w:textAlignment w:val="auto"/>
        <w:outlineLvl w:val="9"/>
        <w:rPr>
          <w:rStyle w:val="43"/>
          <w:rFonts w:hint="eastAsia" w:ascii="宋体" w:hAnsi="宋体" w:eastAsia="宋体" w:cs="宋体"/>
          <w:b/>
          <w:color w:val="000000"/>
          <w:sz w:val="24"/>
          <w:szCs w:val="24"/>
          <w:highlight w:val="none"/>
        </w:rPr>
      </w:pPr>
      <w:r>
        <w:rPr>
          <w:rFonts w:hint="eastAsia" w:ascii="宋体" w:hAnsi="宋体" w:eastAsia="宋体" w:cs="宋体"/>
          <w:color w:val="auto"/>
          <w:sz w:val="24"/>
          <w:highlight w:val="none"/>
          <w:u w:val="single"/>
        </w:rPr>
        <w:br w:type="page"/>
      </w:r>
      <w:r>
        <w:rPr>
          <w:rFonts w:hint="eastAsia" w:ascii="宋体" w:hAnsi="宋体" w:eastAsia="宋体" w:cs="宋体"/>
          <w:color w:val="000000"/>
          <w:sz w:val="44"/>
          <w:szCs w:val="44"/>
          <w:highlight w:val="none"/>
        </w:rPr>
        <w:t>封面格式</w:t>
      </w:r>
    </w:p>
    <w:p>
      <w:pPr>
        <w:pageBreakBefore w:val="0"/>
        <w:kinsoku/>
        <w:overflowPunct/>
        <w:topLinePunct w:val="0"/>
        <w:autoSpaceDE/>
        <w:autoSpaceDN/>
        <w:bidi w:val="0"/>
        <w:adjustRightInd/>
        <w:spacing w:beforeAutospacing="0" w:afterAutospacing="0" w:line="360" w:lineRule="auto"/>
        <w:jc w:val="distribute"/>
        <w:textAlignment w:val="auto"/>
        <w:outlineLvl w:val="9"/>
        <w:rPr>
          <w:rStyle w:val="43"/>
          <w:rFonts w:hint="eastAsia" w:ascii="宋体" w:hAnsi="宋体" w:eastAsia="宋体" w:cs="宋体"/>
          <w:color w:val="000000"/>
          <w:sz w:val="24"/>
          <w:szCs w:val="24"/>
          <w:highlight w:val="none"/>
        </w:rPr>
      </w:pPr>
    </w:p>
    <w:p>
      <w:pPr>
        <w:pStyle w:val="38"/>
        <w:pageBreakBefore w:val="0"/>
        <w:kinsoku/>
        <w:overflowPunct/>
        <w:bidi w:val="0"/>
        <w:spacing w:line="360" w:lineRule="auto"/>
        <w:outlineLvl w:val="9"/>
        <w:rPr>
          <w:rStyle w:val="43"/>
          <w:rFonts w:hint="eastAsia" w:ascii="宋体" w:hAnsi="宋体" w:eastAsia="宋体" w:cs="宋体"/>
          <w:b w:val="0"/>
          <w:bCs w:val="0"/>
          <w:color w:val="000000"/>
          <w:sz w:val="24"/>
          <w:szCs w:val="24"/>
          <w:highlight w:val="none"/>
        </w:rPr>
      </w:pPr>
    </w:p>
    <w:p>
      <w:pPr>
        <w:pageBreakBefore w:val="0"/>
        <w:kinsoku/>
        <w:overflowPunct/>
        <w:bidi w:val="0"/>
        <w:spacing w:line="360" w:lineRule="auto"/>
        <w:outlineLvl w:val="9"/>
        <w:rPr>
          <w:rStyle w:val="43"/>
          <w:rFonts w:hint="eastAsia" w:ascii="宋体" w:hAnsi="宋体" w:eastAsia="宋体" w:cs="宋体"/>
          <w:color w:val="000000"/>
          <w:sz w:val="24"/>
          <w:szCs w:val="24"/>
          <w:highlight w:val="none"/>
        </w:rPr>
      </w:pPr>
    </w:p>
    <w:p>
      <w:pPr>
        <w:pStyle w:val="38"/>
        <w:pageBreakBefore w:val="0"/>
        <w:kinsoku/>
        <w:overflowPunct/>
        <w:bidi w:val="0"/>
        <w:spacing w:line="360" w:lineRule="auto"/>
        <w:outlineLvl w:val="9"/>
        <w:rPr>
          <w:rFonts w:hint="eastAsia"/>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72"/>
          <w:szCs w:val="72"/>
          <w:highlight w:val="none"/>
        </w:rPr>
      </w:pPr>
      <w:r>
        <w:rPr>
          <w:rFonts w:hint="eastAsia" w:ascii="宋体" w:hAnsi="宋体" w:eastAsia="宋体" w:cs="宋体"/>
          <w:b/>
          <w:color w:val="000000"/>
          <w:sz w:val="72"/>
          <w:szCs w:val="72"/>
          <w:highlight w:val="none"/>
        </w:rPr>
        <w:t>投  标  文  件</w:t>
      </w:r>
    </w:p>
    <w:p>
      <w:pPr>
        <w:pageBreakBefore w:val="0"/>
        <w:kinsoku/>
        <w:overflowPunct/>
        <w:topLinePunct w:val="0"/>
        <w:autoSpaceDE/>
        <w:autoSpaceDN/>
        <w:bidi w:val="0"/>
        <w:adjustRightInd/>
        <w:spacing w:beforeAutospacing="0" w:afterAutospacing="0" w:line="360" w:lineRule="auto"/>
        <w:jc w:val="center"/>
        <w:textAlignment w:val="auto"/>
        <w:outlineLvl w:val="1"/>
        <w:rPr>
          <w:rFonts w:hint="eastAsia" w:ascii="宋体" w:hAnsi="宋体" w:eastAsia="宋体" w:cs="宋体"/>
          <w:b/>
          <w:color w:val="000000"/>
          <w:sz w:val="72"/>
          <w:szCs w:val="72"/>
          <w:highlight w:val="none"/>
        </w:rPr>
      </w:pPr>
      <w:bookmarkStart w:id="150" w:name="_Toc31772"/>
      <w:r>
        <w:rPr>
          <w:rFonts w:hint="eastAsia" w:ascii="宋体" w:hAnsi="宋体" w:eastAsia="宋体" w:cs="宋体"/>
          <w:b/>
          <w:color w:val="000000"/>
          <w:sz w:val="72"/>
          <w:szCs w:val="72"/>
          <w:highlight w:val="none"/>
        </w:rPr>
        <w:t>（资格及资信证明部分）</w:t>
      </w:r>
      <w:bookmarkEnd w:id="150"/>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1205" w:firstLineChars="400"/>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项 目 名 称：</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ind w:firstLine="1205" w:firstLineChars="400"/>
        <w:textAlignment w:val="auto"/>
        <w:outlineLvl w:val="9"/>
        <w:rPr>
          <w:rFonts w:hint="eastAsia" w:ascii="宋体" w:hAnsi="宋体" w:eastAsia="宋体" w:cs="宋体"/>
          <w:b/>
          <w:color w:val="000000"/>
          <w:sz w:val="30"/>
          <w:szCs w:val="30"/>
          <w:highlight w:val="none"/>
          <w:u w:val="single"/>
        </w:rPr>
      </w:pPr>
      <w:r>
        <w:rPr>
          <w:rFonts w:hint="eastAsia" w:ascii="宋体" w:hAnsi="宋体" w:eastAsia="宋体" w:cs="宋体"/>
          <w:b/>
          <w:color w:val="000000"/>
          <w:sz w:val="30"/>
          <w:szCs w:val="30"/>
          <w:highlight w:val="none"/>
        </w:rPr>
        <w:t>招 标 编 号：</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 xml:space="preserve">        所投合同包：</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u w:val="single"/>
        </w:rPr>
      </w:pPr>
      <w:r>
        <w:rPr>
          <w:rFonts w:hint="eastAsia" w:ascii="宋体" w:hAnsi="宋体" w:eastAsia="宋体" w:cs="宋体"/>
          <w:b/>
          <w:color w:val="000000"/>
          <w:sz w:val="30"/>
          <w:szCs w:val="30"/>
          <w:highlight w:val="none"/>
        </w:rPr>
        <w:t xml:space="preserve">       投标人名称 ：</w:t>
      </w:r>
      <w:r>
        <w:rPr>
          <w:rFonts w:hint="eastAsia" w:ascii="宋体" w:hAnsi="宋体" w:eastAsia="宋体" w:cs="宋体"/>
          <w:b/>
          <w:color w:val="000000"/>
          <w:sz w:val="30"/>
          <w:szCs w:val="30"/>
          <w:highlight w:val="none"/>
          <w:u w:val="single"/>
        </w:rPr>
        <w:t xml:space="preserve"> （全称并加盖公章）</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 xml:space="preserve">       日      期 ：</w:t>
      </w:r>
      <w:r>
        <w:rPr>
          <w:rFonts w:hint="eastAsia" w:ascii="宋体" w:hAnsi="宋体" w:eastAsia="宋体" w:cs="宋体"/>
          <w:b/>
          <w:color w:val="000000"/>
          <w:sz w:val="30"/>
          <w:szCs w:val="30"/>
          <w:highlight w:val="none"/>
          <w:u w:val="single"/>
        </w:rPr>
        <w:t xml:space="preserve">               </w:t>
      </w: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b/>
          <w:color w:val="000000"/>
          <w:sz w:val="24"/>
          <w:szCs w:val="24"/>
          <w:highlight w:val="none"/>
        </w:rPr>
      </w:pPr>
    </w:p>
    <w:p>
      <w:pPr>
        <w:pStyle w:val="126"/>
        <w:pageBreakBefore w:val="0"/>
        <w:kinsoku/>
        <w:overflowPunct/>
        <w:topLinePunct w:val="0"/>
        <w:autoSpaceDE/>
        <w:autoSpaceDN/>
        <w:bidi w:val="0"/>
        <w:adjustRightInd/>
        <w:snapToGrid w:val="0"/>
        <w:spacing w:beforeAutospacing="0" w:afterAutospacing="0" w:line="360" w:lineRule="auto"/>
        <w:ind w:firstLine="0"/>
        <w:textAlignment w:val="auto"/>
        <w:outlineLvl w:val="9"/>
        <w:rPr>
          <w:rFonts w:hint="eastAsia" w:ascii="宋体" w:hAnsi="宋体" w:eastAsia="宋体" w:cs="宋体"/>
          <w:b/>
          <w:bCs/>
          <w:color w:val="000000"/>
          <w:sz w:val="24"/>
          <w:szCs w:val="24"/>
          <w:highlight w:val="none"/>
        </w:rPr>
      </w:pPr>
    </w:p>
    <w:p>
      <w:pPr>
        <w:pStyle w:val="126"/>
        <w:pageBreakBefore w:val="0"/>
        <w:kinsoku/>
        <w:overflowPunct/>
        <w:topLinePunct w:val="0"/>
        <w:autoSpaceDE/>
        <w:autoSpaceDN/>
        <w:bidi w:val="0"/>
        <w:adjustRightInd/>
        <w:snapToGrid w:val="0"/>
        <w:spacing w:beforeAutospacing="0" w:afterAutospacing="0" w:line="360" w:lineRule="auto"/>
        <w:ind w:firstLine="0"/>
        <w:jc w:val="center"/>
        <w:textAlignment w:val="auto"/>
        <w:outlineLvl w:val="9"/>
        <w:rPr>
          <w:rFonts w:hint="eastAsia" w:ascii="宋体" w:hAnsi="宋体" w:eastAsia="宋体" w:cs="宋体"/>
          <w:b/>
          <w:bCs/>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32"/>
          <w:szCs w:val="32"/>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索</w:t>
      </w:r>
      <w:r>
        <w:rPr>
          <w:rFonts w:hint="eastAsia" w:ascii="宋体" w:hAnsi="宋体" w:eastAsia="宋体" w:cs="宋体"/>
          <w:b/>
          <w:color w:val="000000"/>
          <w:sz w:val="32"/>
          <w:szCs w:val="32"/>
          <w:highlight w:val="none"/>
          <w:lang w:val="en-US" w:eastAsia="zh-CN"/>
        </w:rPr>
        <w:t xml:space="preserve">  </w:t>
      </w:r>
      <w:r>
        <w:rPr>
          <w:rFonts w:hint="eastAsia" w:ascii="宋体" w:hAnsi="宋体" w:eastAsia="宋体" w:cs="宋体"/>
          <w:b/>
          <w:color w:val="000000"/>
          <w:sz w:val="32"/>
          <w:szCs w:val="32"/>
          <w:highlight w:val="none"/>
        </w:rPr>
        <w:t>引</w:t>
      </w:r>
    </w:p>
    <w:p>
      <w:pPr>
        <w:pStyle w:val="36"/>
        <w:pageBreakBefore w:val="0"/>
        <w:widowControl/>
        <w:kinsoku/>
        <w:overflowPunct/>
        <w:topLinePunct w:val="0"/>
        <w:autoSpaceDE/>
        <w:autoSpaceDN/>
        <w:bidi w:val="0"/>
        <w:adjustRightInd/>
        <w:spacing w:before="0" w:beforeLines="0" w:beforeAutospacing="0" w:after="0" w:afterLines="0" w:afterAutospacing="0" w:line="360" w:lineRule="auto"/>
        <w:ind w:left="-288" w:right="-288"/>
        <w:textAlignment w:val="auto"/>
        <w:outlineLvl w:val="9"/>
        <w:rPr>
          <w:rFonts w:hint="eastAsia" w:ascii="宋体" w:hAnsi="宋体" w:eastAsia="宋体" w:cs="宋体"/>
          <w:color w:val="000000"/>
          <w:sz w:val="24"/>
          <w:szCs w:val="24"/>
          <w:highlight w:val="none"/>
          <w:shd w:val="clear" w:color="auto" w:fill="FFFFFF"/>
        </w:rPr>
      </w:pPr>
    </w:p>
    <w:p>
      <w:pPr>
        <w:pStyle w:val="36"/>
        <w:pageBreakBefore w:val="0"/>
        <w:widowControl/>
        <w:kinsoku/>
        <w:overflowPunct/>
        <w:topLinePunct w:val="0"/>
        <w:autoSpaceDE/>
        <w:autoSpaceDN/>
        <w:bidi w:val="0"/>
        <w:adjustRightInd/>
        <w:spacing w:before="0" w:beforeLines="0" w:beforeAutospacing="0" w:after="0" w:afterLines="0" w:afterAutospacing="0" w:line="360" w:lineRule="auto"/>
        <w:ind w:left="-288" w:right="-288"/>
        <w:textAlignment w:val="auto"/>
        <w:outlineLvl w:val="9"/>
        <w:rPr>
          <w:rFonts w:hint="eastAsia" w:ascii="宋体" w:hAnsi="宋体" w:eastAsia="宋体" w:cs="宋体"/>
          <w:color w:val="000000"/>
          <w:sz w:val="24"/>
          <w:szCs w:val="24"/>
          <w:highlight w:val="none"/>
          <w:shd w:val="clear" w:color="auto" w:fill="FFFFFF"/>
        </w:rPr>
      </w:pPr>
    </w:p>
    <w:p>
      <w:pPr>
        <w:pStyle w:val="36"/>
        <w:pageBreakBefore w:val="0"/>
        <w:widowControl/>
        <w:kinsoku/>
        <w:overflowPunct/>
        <w:topLinePunct w:val="0"/>
        <w:autoSpaceDE/>
        <w:autoSpaceDN/>
        <w:bidi w:val="0"/>
        <w:adjustRightInd/>
        <w:spacing w:before="0" w:beforeLines="0" w:beforeAutospacing="0" w:after="0" w:afterLines="0" w:afterAutospacing="0" w:line="360" w:lineRule="auto"/>
        <w:ind w:left="-288" w:right="-288"/>
        <w:textAlignment w:val="auto"/>
        <w:outlineLvl w:val="9"/>
        <w:rPr>
          <w:rFonts w:hint="eastAsia" w:ascii="宋体" w:hAnsi="宋体" w:eastAsia="宋体" w:cs="宋体"/>
          <w:color w:val="000000"/>
          <w:sz w:val="24"/>
          <w:szCs w:val="24"/>
          <w:highlight w:val="none"/>
          <w:shd w:val="clear" w:color="auto" w:fill="FFFFFF"/>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一、投标函</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二、投标人的资格及资信证明文件</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三、保证金提交声明函</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四、退回投标保证金的申请函</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五、招标代理服务费承诺书</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br w:type="page"/>
      </w:r>
      <w:bookmarkStart w:id="151" w:name="_Toc22074"/>
      <w:bookmarkStart w:id="152" w:name="_Toc26567"/>
      <w:bookmarkStart w:id="153" w:name="_Toc20074"/>
      <w:bookmarkStart w:id="154" w:name="_Toc8429"/>
      <w:r>
        <w:rPr>
          <w:rStyle w:val="43"/>
          <w:rFonts w:hint="eastAsia" w:ascii="宋体" w:hAnsi="宋体" w:eastAsia="宋体" w:cs="宋体"/>
          <w:color w:val="000000"/>
          <w:sz w:val="30"/>
          <w:szCs w:val="30"/>
          <w:highlight w:val="none"/>
        </w:rPr>
        <w:t>一、投标函</w:t>
      </w:r>
      <w:bookmarkEnd w:id="151"/>
      <w:bookmarkEnd w:id="152"/>
      <w:bookmarkEnd w:id="153"/>
      <w:bookmarkEnd w:id="154"/>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致：(采购人或采购代理机构)</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兹收到贵单位关于</w:t>
      </w:r>
      <w:r>
        <w:rPr>
          <w:rFonts w:hint="eastAsia" w:ascii="宋体" w:hAnsi="宋体" w:eastAsia="宋体" w:cs="宋体"/>
          <w:color w:val="000000"/>
          <w:sz w:val="24"/>
          <w:szCs w:val="24"/>
          <w:highlight w:val="none"/>
          <w:u w:val="single"/>
        </w:rPr>
        <w:t>（填写“项目名称”）</w:t>
      </w:r>
      <w:r>
        <w:rPr>
          <w:rFonts w:hint="eastAsia" w:ascii="宋体" w:hAnsi="宋体" w:eastAsia="宋体" w:cs="宋体"/>
          <w:color w:val="000000"/>
          <w:sz w:val="24"/>
          <w:szCs w:val="24"/>
          <w:highlight w:val="none"/>
        </w:rPr>
        <w:t>项目（招标编号：</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）的投标邀请，本投标人代表</w:t>
      </w:r>
      <w:r>
        <w:rPr>
          <w:rFonts w:hint="eastAsia" w:ascii="宋体" w:hAnsi="宋体" w:eastAsia="宋体" w:cs="宋体"/>
          <w:color w:val="000000"/>
          <w:sz w:val="24"/>
          <w:szCs w:val="24"/>
          <w:highlight w:val="none"/>
          <w:u w:val="single"/>
        </w:rPr>
        <w:t>（填写“全名”）</w:t>
      </w:r>
      <w:r>
        <w:rPr>
          <w:rFonts w:hint="eastAsia" w:ascii="宋体" w:hAnsi="宋体" w:eastAsia="宋体" w:cs="宋体"/>
          <w:color w:val="000000"/>
          <w:sz w:val="24"/>
          <w:szCs w:val="24"/>
          <w:highlight w:val="none"/>
        </w:rPr>
        <w:t>已获得我方正式授权并代表投标人</w:t>
      </w:r>
      <w:r>
        <w:rPr>
          <w:rFonts w:hint="eastAsia" w:ascii="宋体" w:hAnsi="宋体" w:eastAsia="宋体" w:cs="宋体"/>
          <w:color w:val="000000"/>
          <w:sz w:val="24"/>
          <w:szCs w:val="24"/>
          <w:highlight w:val="none"/>
          <w:u w:val="single"/>
        </w:rPr>
        <w:t>（填写“全称”）</w:t>
      </w:r>
      <w:r>
        <w:rPr>
          <w:rFonts w:hint="eastAsia" w:ascii="宋体" w:hAnsi="宋体" w:eastAsia="宋体" w:cs="宋体"/>
          <w:color w:val="000000"/>
          <w:sz w:val="24"/>
          <w:szCs w:val="24"/>
          <w:highlight w:val="none"/>
        </w:rPr>
        <w:t>参加投标，并提交招标文件规定份数的投标文件正本和副本。我方提交的全部投标文件均由下述部分组成：</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（1）资格及资信证明部分</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①投标函</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②投标人的资格及资信证明文件</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③保证金提交声明函</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④退回投标保证金的申请函</w:t>
      </w:r>
    </w:p>
    <w:p>
      <w:pPr>
        <w:pStyle w:val="36"/>
        <w:pageBreakBefore w:val="0"/>
        <w:kinsoku/>
        <w:overflowPunct/>
        <w:topLinePunct w:val="0"/>
        <w:autoSpaceDE/>
        <w:autoSpaceDN/>
        <w:bidi w:val="0"/>
        <w:adjustRightInd/>
        <w:spacing w:before="0" w:beforeAutospacing="0" w:after="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⑤招标代理服务费承诺书</w:t>
      </w:r>
    </w:p>
    <w:p>
      <w:pPr>
        <w:pStyle w:val="36"/>
        <w:pageBreakBefore w:val="0"/>
        <w:kinsoku/>
        <w:overflowPunct/>
        <w:topLinePunct w:val="0"/>
        <w:autoSpaceDE/>
        <w:autoSpaceDN/>
        <w:bidi w:val="0"/>
        <w:adjustRightInd/>
        <w:spacing w:before="0" w:beforeAutospacing="0" w:after="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（2）报价部分</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开标一览表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报价一览表（最终报价表）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 xml:space="preserve"> 投标分项报价表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4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招标文件规定的价格扣除证明材料（若有）</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（3）技术商务部分</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①标的说明一览表</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②技术参数偏离表和商务偏离表</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③质量保证及售后服务承诺书</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 4 \* GB3 \* MERGEFORMAT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sz w:val="24"/>
          <w:szCs w:val="24"/>
          <w:highlight w:val="none"/>
        </w:rPr>
        <w:t>④</w:t>
      </w:r>
      <w:r>
        <w:rPr>
          <w:rFonts w:hint="eastAsia" w:ascii="宋体" w:hAnsi="宋体" w:eastAsia="宋体" w:cs="宋体"/>
          <w:color w:val="000000"/>
          <w:sz w:val="24"/>
          <w:szCs w:val="24"/>
          <w:highlight w:val="none"/>
        </w:rPr>
        <w:fldChar w:fldCharType="end"/>
      </w:r>
      <w:r>
        <w:rPr>
          <w:rFonts w:hint="eastAsia" w:ascii="宋体" w:hAnsi="宋体" w:eastAsia="宋体" w:cs="宋体"/>
          <w:color w:val="000000"/>
          <w:sz w:val="24"/>
          <w:szCs w:val="24"/>
          <w:highlight w:val="none"/>
        </w:rPr>
        <w:t>投标人提交的其他资料（若有）</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根据本函，本投标人代表宣布我方保证遵守招标文件的全部规定，同时：</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Style w:val="43"/>
          <w:rFonts w:hint="eastAsia" w:ascii="宋体" w:hAnsi="宋体" w:eastAsia="宋体" w:cs="宋体"/>
          <w:color w:val="000000"/>
          <w:sz w:val="24"/>
          <w:szCs w:val="24"/>
          <w:highlight w:val="none"/>
        </w:rPr>
        <w:t>确认：</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1.1所投合同包的投标报价详见“开标一览表”及“投标分项报价表”。</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1.2我方已详细审查全部招标文件[包括但不限于：有关附件（若有）、澄清或修改（若有）等]，并自行承担因对全部招标文件理解不正确或误解而产生的相应后果和责任。</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Style w:val="43"/>
          <w:rFonts w:hint="eastAsia" w:ascii="宋体" w:hAnsi="宋体" w:eastAsia="宋体" w:cs="宋体"/>
          <w:color w:val="000000"/>
          <w:sz w:val="24"/>
          <w:szCs w:val="24"/>
          <w:highlight w:val="none"/>
        </w:rPr>
        <w:t>承诺及声明：</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2.1我方具备招标文件第二章载明的“投标人的资格要求”且符合招标文件第二章载明的“3. 合格的投标人”之规定，否则</w:t>
      </w:r>
      <w:r>
        <w:rPr>
          <w:rStyle w:val="43"/>
          <w:rFonts w:hint="eastAsia" w:ascii="宋体" w:hAnsi="宋体" w:eastAsia="宋体" w:cs="宋体"/>
          <w:color w:val="000000"/>
          <w:sz w:val="24"/>
          <w:szCs w:val="24"/>
          <w:highlight w:val="none"/>
        </w:rPr>
        <w:t>投标无效。</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2.2我方提交的投标文件各组成部分的全部内容及资料是不可割离且真实、有效、准确、完整和不具有任何误导性的，否则产生不利后果由我方承担责任。</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2.3我方提供的标的价格不低于于同期市场价格，否则产生不利后果由我方承担责任。</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2.4投标保证金：若出现招标文件第二章规定的不予退还情形，同意贵单位不予退还。</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2.5投标有效期：按照招标文件第二章规定执行，并在招标文件第二章载明的期限内保持有效。</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2.6若中标，将按照招标文件、我方投标文件及政府采购合同履行责任和义务。</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2.7若贵单位要求，我方同意提供与本项目投标有关的一切资料、数据或文件，并完全理解贵单位不一定要接受最高的投标报价或收到的任何投标。</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2.8除招标文件另有规定外，对于贵单位按照下述联络方式发出的任何信息或通知，均视为我方已收悉前述信息或通知的全部内容：</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通信地址：</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邮编：</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联系方法：</w:t>
      </w:r>
      <w:r>
        <w:rPr>
          <w:rFonts w:hint="eastAsia" w:ascii="宋体" w:hAnsi="宋体" w:eastAsia="宋体" w:cs="宋体"/>
          <w:color w:val="000000"/>
          <w:sz w:val="24"/>
          <w:szCs w:val="24"/>
          <w:highlight w:val="none"/>
          <w:u w:val="single"/>
        </w:rPr>
        <w:t>（包括但不限于：联系人、联系电话、手机、传真、电子邮箱等）</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Style w:val="36"/>
        <w:pageBreakBefore w:val="0"/>
        <w:kinsoku/>
        <w:overflowPunct/>
        <w:topLinePunct w:val="0"/>
        <w:autoSpaceDE/>
        <w:autoSpaceDN/>
        <w:bidi w:val="0"/>
        <w:adjustRightInd/>
        <w:spacing w:before="0" w:beforeLines="0" w:beforeAutospacing="0" w:after="0" w:afterLines="0" w:afterAutospacing="0" w:line="360" w:lineRule="auto"/>
        <w:jc w:val="center"/>
        <w:textAlignment w:val="auto"/>
        <w:outlineLvl w:val="9"/>
        <w:rPr>
          <w:rFonts w:hint="eastAsia" w:ascii="宋体" w:hAnsi="宋体" w:eastAsia="宋体" w:cs="宋体"/>
          <w:b/>
          <w:bCs/>
          <w:color w:val="000000"/>
          <w:sz w:val="30"/>
          <w:szCs w:val="30"/>
          <w:highlight w:val="none"/>
        </w:rPr>
      </w:pPr>
      <w:r>
        <w:rPr>
          <w:rFonts w:hint="eastAsia" w:ascii="宋体" w:hAnsi="宋体" w:eastAsia="宋体" w:cs="宋体"/>
          <w:color w:val="000000"/>
          <w:sz w:val="24"/>
          <w:szCs w:val="24"/>
          <w:highlight w:val="none"/>
        </w:rPr>
        <w:br w:type="page"/>
      </w:r>
      <w:r>
        <w:rPr>
          <w:rFonts w:hint="eastAsia" w:ascii="宋体" w:hAnsi="宋体" w:eastAsia="宋体" w:cs="宋体"/>
          <w:b/>
          <w:bCs/>
          <w:color w:val="000000"/>
          <w:sz w:val="30"/>
          <w:szCs w:val="30"/>
          <w:highlight w:val="none"/>
        </w:rPr>
        <w:t>二、投标人的资格及资信证明文件</w:t>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二-1</w:t>
      </w:r>
      <w:r>
        <w:rPr>
          <w:rFonts w:hint="eastAsia" w:ascii="宋体" w:hAnsi="宋体" w:eastAsia="宋体" w:cs="宋体"/>
          <w:b/>
          <w:color w:val="000000"/>
          <w:sz w:val="30"/>
          <w:szCs w:val="30"/>
          <w:highlight w:val="none"/>
          <w:lang w:val="en-US" w:eastAsia="zh-CN"/>
        </w:rPr>
        <w:t xml:space="preserve"> </w:t>
      </w:r>
      <w:r>
        <w:rPr>
          <w:rFonts w:hint="eastAsia" w:ascii="宋体" w:hAnsi="宋体" w:eastAsia="宋体" w:cs="宋体"/>
          <w:b/>
          <w:color w:val="000000"/>
          <w:sz w:val="30"/>
          <w:szCs w:val="30"/>
          <w:highlight w:val="none"/>
        </w:rPr>
        <w:t>法人营业执照及相关资质证书</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致：(采购人或采购代理机构)</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现附上由</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（签发机关名称）签发的我方法人营业执照副本复印件，该执照真实有效。</w:t>
      </w: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现附上由</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（签发机关名称）签发的我方</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复印件，该证件真实有效。</w:t>
      </w: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w:t>
      </w:r>
      <w:r>
        <w:rPr>
          <w:rFonts w:hint="eastAsia" w:ascii="宋体" w:hAnsi="宋体" w:cs="宋体"/>
          <w:color w:val="000000"/>
          <w:sz w:val="24"/>
          <w:szCs w:val="24"/>
          <w:highlight w:val="none"/>
          <w:lang w:eastAsia="zh-CN"/>
        </w:rPr>
        <w:t>营业执照、</w:t>
      </w:r>
      <w:r>
        <w:rPr>
          <w:rFonts w:hint="eastAsia" w:ascii="宋体" w:hAnsi="宋体" w:eastAsia="宋体" w:cs="宋体"/>
          <w:color w:val="000000"/>
          <w:sz w:val="24"/>
          <w:szCs w:val="24"/>
          <w:highlight w:val="none"/>
        </w:rPr>
        <w:t>资质证书附后。</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投 标 人（全称并加盖公章）：</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ind w:firstLine="3000" w:firstLineChars="125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      期：</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w:t>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30"/>
          <w:szCs w:val="30"/>
          <w:highlight w:val="none"/>
        </w:rPr>
      </w:pPr>
      <w:r>
        <w:rPr>
          <w:rFonts w:hint="eastAsia" w:ascii="宋体" w:hAnsi="宋体" w:eastAsia="宋体" w:cs="宋体"/>
          <w:b/>
          <w:color w:val="000000"/>
          <w:sz w:val="24"/>
          <w:szCs w:val="24"/>
          <w:highlight w:val="none"/>
        </w:rPr>
        <w:br w:type="page"/>
      </w:r>
      <w:r>
        <w:rPr>
          <w:rFonts w:hint="eastAsia" w:ascii="宋体" w:hAnsi="宋体" w:eastAsia="宋体" w:cs="宋体"/>
          <w:b/>
          <w:color w:val="000000"/>
          <w:sz w:val="30"/>
          <w:szCs w:val="30"/>
          <w:highlight w:val="none"/>
        </w:rPr>
        <w:t>二-2法定代表人授权书</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致：(采购人或采购代理机构)</w:t>
      </w:r>
    </w:p>
    <w:p>
      <w:pPr>
        <w:pStyle w:val="50"/>
        <w:pageBreakBefore w:val="0"/>
        <w:kinsoku/>
        <w:overflowPunct/>
        <w:topLinePunct w:val="0"/>
        <w:autoSpaceDE/>
        <w:autoSpaceDN/>
        <w:bidi w:val="0"/>
        <w:adjustRightInd/>
        <w:snapToGrid w:val="0"/>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（投标方全称）</w:t>
      </w:r>
      <w:r>
        <w:rPr>
          <w:rFonts w:hint="eastAsia" w:ascii="宋体" w:hAnsi="宋体" w:eastAsia="宋体" w:cs="宋体"/>
          <w:color w:val="000000"/>
          <w:sz w:val="24"/>
          <w:szCs w:val="24"/>
          <w:highlight w:val="none"/>
        </w:rPr>
        <w:t>法定代表人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授权</w:t>
      </w:r>
      <w:r>
        <w:rPr>
          <w:rFonts w:hint="eastAsia" w:ascii="宋体" w:hAnsi="宋体" w:eastAsia="宋体" w:cs="宋体"/>
          <w:color w:val="000000"/>
          <w:sz w:val="24"/>
          <w:szCs w:val="24"/>
          <w:highlight w:val="none"/>
          <w:u w:val="single"/>
        </w:rPr>
        <w:t xml:space="preserve">  （投标方代表姓名）</w:t>
      </w:r>
      <w:r>
        <w:rPr>
          <w:rFonts w:hint="eastAsia" w:ascii="宋体" w:hAnsi="宋体" w:eastAsia="宋体" w:cs="宋体"/>
          <w:color w:val="000000"/>
          <w:sz w:val="24"/>
          <w:szCs w:val="24"/>
          <w:highlight w:val="none"/>
        </w:rPr>
        <w:t>为投标方代表，代表本公司参加贵司组织的</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项目（招标编号</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招标活动，全权代表本公司处理投标过程的一切事宜，包括但不限于：投标、参与谈判、签约等。投标方代表在投标过程中所签署的一切文件和处理与之有关的一切事务，本公司均予以认可并对此承担责任。投标方代表无转委托权。特此授权。</w:t>
      </w:r>
    </w:p>
    <w:p>
      <w:pPr>
        <w:pStyle w:val="50"/>
        <w:pageBreakBefore w:val="0"/>
        <w:kinsoku/>
        <w:overflowPunct/>
        <w:topLinePunct w:val="0"/>
        <w:autoSpaceDE/>
        <w:autoSpaceDN/>
        <w:bidi w:val="0"/>
        <w:adjustRightInd/>
        <w:snapToGrid w:val="0"/>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本授权书自出具之日起生效。</w:t>
      </w:r>
    </w:p>
    <w:p>
      <w:pPr>
        <w:pStyle w:val="50"/>
        <w:pageBreakBefore w:val="0"/>
        <w:kinsoku/>
        <w:overflowPunct/>
        <w:topLinePunct w:val="0"/>
        <w:autoSpaceDE/>
        <w:autoSpaceDN/>
        <w:bidi w:val="0"/>
        <w:adjustRightInd/>
        <w:snapToGrid w:val="0"/>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性别：</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手机号：</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身份证号： </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投标代表：</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性别：</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手机号：</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身份证号：</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单位：</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部门：</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职务：</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详细通讯地址：</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b/>
          <w:bCs/>
          <w:color w:val="000000"/>
          <w:sz w:val="24"/>
          <w:szCs w:val="24"/>
          <w:highlight w:val="none"/>
        </w:rPr>
        <w:t xml:space="preserve"> </w:t>
      </w:r>
      <w:r>
        <w:rPr>
          <w:rFonts w:hint="eastAsia" w:ascii="宋体" w:hAnsi="宋体" w:eastAsia="宋体" w:cs="宋体"/>
          <w:color w:val="000000"/>
          <w:sz w:val="24"/>
          <w:szCs w:val="24"/>
          <w:highlight w:val="none"/>
        </w:rPr>
        <w:t>邮政编码:</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电话：</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授权方</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单位负责人签字或盖章：</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接受授权方</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jc w:val="righ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签署日期：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附：法定代表人、投标代表的身份证正反面复印件</w:t>
      </w:r>
    </w:p>
    <w:tbl>
      <w:tblPr>
        <w:tblStyle w:val="40"/>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16" w:type="dxa"/>
            <w:tcBorders>
              <w:top w:val="nil"/>
              <w:left w:val="nil"/>
              <w:bottom w:val="nil"/>
              <w:right w:val="nil"/>
            </w:tcBorders>
            <w:tcMar>
              <w:left w:w="105" w:type="dxa"/>
              <w:right w:w="105" w:type="dxa"/>
            </w:tcMar>
            <w:vAlign w:val="top"/>
          </w:tcPr>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Style w:val="43"/>
                <w:rFonts w:hint="eastAsia" w:ascii="宋体" w:hAnsi="宋体" w:eastAsia="宋体" w:cs="宋体"/>
                <w:color w:val="000000"/>
                <w:sz w:val="24"/>
                <w:szCs w:val="24"/>
                <w:highlight w:val="non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Style w:val="43"/>
                <w:rFonts w:hint="eastAsia" w:ascii="宋体" w:hAnsi="宋体" w:eastAsia="宋体" w:cs="宋体"/>
                <w:color w:val="000000"/>
                <w:sz w:val="24"/>
                <w:szCs w:val="24"/>
                <w:highlight w:val="none"/>
              </w:rPr>
              <w:t>要求：真实、有效、清晰 </w:t>
            </w:r>
          </w:p>
        </w:tc>
      </w:tr>
    </w:tbl>
    <w:p>
      <w:pPr>
        <w:pStyle w:val="103"/>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★注意：</w:t>
      </w:r>
    </w:p>
    <w:p>
      <w:pPr>
        <w:pStyle w:val="103"/>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投标代表是法定代表人无需</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rPr>
        <w:br w:type="page"/>
      </w:r>
      <w:bookmarkStart w:id="155" w:name="_Toc12052"/>
      <w:bookmarkStart w:id="156" w:name="_Toc21448"/>
      <w:bookmarkStart w:id="157" w:name="_Toc23381"/>
      <w:bookmarkStart w:id="158" w:name="_Toc13096"/>
      <w:r>
        <w:rPr>
          <w:rFonts w:hint="eastAsia" w:ascii="宋体" w:hAnsi="宋体" w:eastAsia="宋体" w:cs="宋体"/>
          <w:b/>
          <w:bCs/>
          <w:color w:val="000000"/>
          <w:sz w:val="30"/>
          <w:szCs w:val="30"/>
          <w:highlight w:val="none"/>
        </w:rPr>
        <w:t>二-3 有无行贿犯罪情形的说明或承诺</w:t>
      </w:r>
      <w:bookmarkEnd w:id="155"/>
      <w:bookmarkEnd w:id="156"/>
      <w:bookmarkEnd w:id="157"/>
      <w:bookmarkEnd w:id="158"/>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Cs/>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致：(采购人或采购代理机构)</w:t>
      </w: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★注意：</w:t>
      </w:r>
    </w:p>
    <w:p>
      <w:pPr>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投标人须自行对其有无行贿犯罪情形进行说明或承诺（格式自拟），作为投标文件的一般资格证明文件。</w:t>
      </w:r>
    </w:p>
    <w:p>
      <w:pPr>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（报价响应人编制报价响应文件时应删去上述各段话）</w:t>
      </w:r>
    </w:p>
    <w:p>
      <w:pPr>
        <w:pStyle w:val="36"/>
        <w:pageBreakBefore w:val="0"/>
        <w:kinsoku/>
        <w:overflowPunct/>
        <w:topLinePunct w:val="0"/>
        <w:autoSpaceDE/>
        <w:autoSpaceDN/>
        <w:bidi w:val="0"/>
        <w:adjustRightInd/>
        <w:spacing w:before="0" w:beforeLines="0" w:beforeAutospacing="0" w:after="0" w:afterLines="0" w:afterAutospacing="0" w:line="360" w:lineRule="auto"/>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br w:type="page"/>
      </w:r>
      <w:r>
        <w:rPr>
          <w:rFonts w:hint="eastAsia" w:ascii="宋体" w:hAnsi="宋体" w:eastAsia="宋体" w:cs="宋体"/>
          <w:b/>
          <w:color w:val="000000"/>
          <w:sz w:val="30"/>
          <w:szCs w:val="30"/>
          <w:highlight w:val="none"/>
        </w:rPr>
        <w:t>二-</w:t>
      </w:r>
      <w:r>
        <w:rPr>
          <w:rFonts w:hint="eastAsia" w:ascii="宋体" w:hAnsi="宋体" w:cs="宋体"/>
          <w:b/>
          <w:color w:val="000000"/>
          <w:sz w:val="30"/>
          <w:szCs w:val="30"/>
          <w:highlight w:val="none"/>
          <w:lang w:val="en-US" w:eastAsia="zh-CN"/>
        </w:rPr>
        <w:t>4</w:t>
      </w:r>
      <w:r>
        <w:rPr>
          <w:rFonts w:hint="eastAsia" w:ascii="宋体" w:hAnsi="宋体" w:eastAsia="宋体" w:cs="宋体"/>
          <w:b/>
          <w:color w:val="000000"/>
          <w:sz w:val="30"/>
          <w:szCs w:val="30"/>
          <w:highlight w:val="none"/>
        </w:rPr>
        <w:t xml:space="preserve"> 具备履行合同所必需的设备和专业技术能力的</w:t>
      </w:r>
      <w:r>
        <w:rPr>
          <w:rFonts w:hint="eastAsia" w:ascii="宋体" w:hAnsi="宋体" w:eastAsia="宋体" w:cs="宋体"/>
          <w:b/>
          <w:color w:val="000000"/>
          <w:sz w:val="30"/>
          <w:szCs w:val="30"/>
          <w:highlight w:val="none"/>
          <w:lang w:eastAsia="zh-CN"/>
        </w:rPr>
        <w:t>书面声明</w:t>
      </w: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p>
    <w:p>
      <w:pPr>
        <w:pStyle w:val="36"/>
        <w:keepLines w:val="0"/>
        <w:pageBreakBefore w:val="0"/>
        <w:widowControl/>
        <w:kinsoku/>
        <w:overflowPunct/>
        <w:topLinePunct w:val="0"/>
        <w:autoSpaceDE/>
        <w:autoSpaceDN/>
        <w:bidi w:val="0"/>
        <w:adjustRightInd/>
        <w:snapToGrid/>
        <w:spacing w:before="0" w:beforeLines="0" w:beforeAutospacing="0" w:after="0" w:afterLines="0" w:afterAutospacing="0" w:line="360" w:lineRule="auto"/>
        <w:ind w:left="0" w:leftChars="0" w:firstLine="562" w:firstLineChars="200"/>
        <w:jc w:val="center"/>
        <w:textAlignment w:val="auto"/>
        <w:outlineLvl w:val="9"/>
        <w:rPr>
          <w:rFonts w:hint="eastAsia" w:ascii="宋体" w:hAnsi="宋体" w:eastAsia="宋体" w:cs="宋体"/>
          <w:color w:val="auto"/>
          <w:sz w:val="28"/>
          <w:szCs w:val="28"/>
          <w:highlight w:val="none"/>
        </w:rPr>
      </w:pPr>
      <w:r>
        <w:rPr>
          <w:rStyle w:val="43"/>
          <w:rFonts w:hint="eastAsia" w:ascii="宋体" w:hAnsi="宋体" w:eastAsia="宋体" w:cs="宋体"/>
          <w:color w:val="auto"/>
          <w:sz w:val="28"/>
          <w:szCs w:val="28"/>
          <w:highlight w:val="none"/>
        </w:rPr>
        <w:t>声明函</w:t>
      </w:r>
    </w:p>
    <w:p>
      <w:pPr>
        <w:pStyle w:val="36"/>
        <w:keepLines w:val="0"/>
        <w:pageBreakBefore w:val="0"/>
        <w:widowControl/>
        <w:kinsoku/>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宋体" w:hAnsi="宋体" w:eastAsia="宋体" w:cs="宋体"/>
          <w:color w:val="auto"/>
          <w:highlight w:val="none"/>
        </w:rPr>
      </w:pPr>
    </w:p>
    <w:p>
      <w:pPr>
        <w:pStyle w:val="36"/>
        <w:keepLines w:val="0"/>
        <w:pageBreakBefore w:val="0"/>
        <w:widowControl/>
        <w:kinsoku/>
        <w:overflowPunct/>
        <w:topLinePunct w:val="0"/>
        <w:autoSpaceDE/>
        <w:autoSpaceDN/>
        <w:bidi w:val="0"/>
        <w:adjustRightInd/>
        <w:snapToGrid/>
        <w:spacing w:before="0" w:beforeLines="0" w:beforeAutospacing="0" w:after="0" w:afterLines="0" w:afterAutospacing="0" w:line="360" w:lineRule="auto"/>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(采购人或采购代理机构)       </w:t>
      </w:r>
    </w:p>
    <w:p>
      <w:pPr>
        <w:pStyle w:val="36"/>
        <w:keepLines w:val="0"/>
        <w:pageBreakBefore w:val="0"/>
        <w:widowControl/>
        <w:kinsoku/>
        <w:overflowPunct/>
        <w:topLinePunct w:val="0"/>
        <w:autoSpaceDE/>
        <w:autoSpaceDN/>
        <w:bidi w:val="0"/>
        <w:adjustRightInd/>
        <w:snapToGrid/>
        <w:spacing w:before="0" w:beforeLines="0" w:beforeAutospacing="0" w:after="0" w:afterLines="0" w:afterAutospacing="0" w:line="360" w:lineRule="auto"/>
        <w:ind w:left="0" w:leftChars="0" w:firstLine="48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我方具备履行合同所必需的设备和专业技术能力，并对本声明承诺的真实性负责，否则产生不利后果由我方承担责任。</w:t>
      </w:r>
    </w:p>
    <w:p>
      <w:pPr>
        <w:pStyle w:val="36"/>
        <w:keepLines w:val="0"/>
        <w:pageBreakBefore w:val="0"/>
        <w:widowControl/>
        <w:kinsoku/>
        <w:overflowPunct/>
        <w:topLinePunct w:val="0"/>
        <w:autoSpaceDE/>
        <w:autoSpaceDN/>
        <w:bidi w:val="0"/>
        <w:adjustRightInd/>
        <w:snapToGrid/>
        <w:spacing w:before="0" w:beforeLines="0" w:beforeAutospacing="0" w:after="0" w:afterLines="0" w:afterAutospacing="0" w:line="360" w:lineRule="auto"/>
        <w:ind w:left="0" w:leftChars="0" w:firstLine="48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特此声明。</w:t>
      </w:r>
    </w:p>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br w:type="textWrapping"/>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Style w:val="36"/>
        <w:pageBreakBefore w:val="0"/>
        <w:kinsoku/>
        <w:overflowPunct/>
        <w:topLinePunct w:val="0"/>
        <w:autoSpaceDE/>
        <w:autoSpaceDN/>
        <w:bidi w:val="0"/>
        <w:adjustRightInd/>
        <w:spacing w:before="0" w:beforeLines="0" w:beforeAutospacing="0" w:after="0" w:afterLines="0" w:afterAutospacing="0" w:line="360" w:lineRule="auto"/>
        <w:ind w:left="420"/>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ind w:firstLine="420"/>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jc w:val="center"/>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30"/>
          <w:szCs w:val="30"/>
          <w:highlight w:val="none"/>
        </w:rPr>
        <w:br w:type="page"/>
      </w:r>
      <w:bookmarkStart w:id="159" w:name="_Toc15185"/>
      <w:bookmarkStart w:id="160" w:name="_Toc19362"/>
      <w:bookmarkStart w:id="161" w:name="_Toc18054"/>
      <w:bookmarkStart w:id="162" w:name="_Toc18912"/>
      <w:r>
        <w:rPr>
          <w:rFonts w:hint="eastAsia" w:ascii="宋体" w:hAnsi="宋体" w:eastAsia="宋体" w:cs="宋体"/>
          <w:b/>
          <w:bCs/>
          <w:color w:val="000000"/>
          <w:sz w:val="30"/>
          <w:szCs w:val="30"/>
          <w:highlight w:val="none"/>
        </w:rPr>
        <w:t>二-</w:t>
      </w:r>
      <w:r>
        <w:rPr>
          <w:rFonts w:hint="eastAsia" w:hAnsi="宋体" w:cs="宋体"/>
          <w:b/>
          <w:bCs/>
          <w:color w:val="000000"/>
          <w:sz w:val="30"/>
          <w:szCs w:val="30"/>
          <w:highlight w:val="none"/>
          <w:lang w:val="en-US" w:eastAsia="zh-CN"/>
        </w:rPr>
        <w:t>5</w:t>
      </w:r>
      <w:r>
        <w:rPr>
          <w:rFonts w:hint="eastAsia" w:ascii="宋体" w:hAnsi="宋体" w:eastAsia="宋体" w:cs="宋体"/>
          <w:b/>
          <w:bCs/>
          <w:color w:val="000000"/>
          <w:sz w:val="30"/>
          <w:szCs w:val="30"/>
          <w:highlight w:val="none"/>
        </w:rPr>
        <w:t>-1财务状况报告</w:t>
      </w:r>
      <w:bookmarkEnd w:id="159"/>
      <w:bookmarkEnd w:id="160"/>
      <w:bookmarkEnd w:id="161"/>
      <w:bookmarkEnd w:id="162"/>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b/>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ind w:firstLine="482"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财务状况报告：</w:t>
      </w:r>
      <w:r>
        <w:rPr>
          <w:rFonts w:hint="eastAsia" w:ascii="宋体" w:hAnsi="宋体" w:eastAsia="宋体" w:cs="宋体"/>
          <w:color w:val="auto"/>
          <w:sz w:val="24"/>
          <w:highlight w:val="none"/>
        </w:rPr>
        <w:t>提供会计师事务所出具的2019年度财务审计报告</w:t>
      </w:r>
      <w:r>
        <w:rPr>
          <w:rFonts w:hint="eastAsia" w:ascii="宋体" w:hAnsi="宋体" w:eastAsia="宋体" w:cs="宋体"/>
          <w:color w:val="000000"/>
          <w:sz w:val="24"/>
          <w:szCs w:val="24"/>
          <w:highlight w:val="none"/>
        </w:rPr>
        <w:t>；或者提供开户许可证和投标截止时间前六个月内基本开户银行出具的资信证明；或者提供财政部门认可的政府采购专业担保机构出具的投标担保函</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br w:type="page"/>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二-</w:t>
      </w:r>
      <w:r>
        <w:rPr>
          <w:rFonts w:hint="eastAsia" w:ascii="宋体" w:hAnsi="宋体" w:cs="宋体"/>
          <w:b/>
          <w:bCs/>
          <w:color w:val="000000"/>
          <w:sz w:val="30"/>
          <w:szCs w:val="30"/>
          <w:highlight w:val="none"/>
          <w:lang w:val="en-US" w:eastAsia="zh-CN"/>
        </w:rPr>
        <w:t>5</w:t>
      </w:r>
      <w:r>
        <w:rPr>
          <w:rFonts w:hint="eastAsia" w:ascii="宋体" w:hAnsi="宋体" w:eastAsia="宋体" w:cs="宋体"/>
          <w:b/>
          <w:bCs/>
          <w:color w:val="000000"/>
          <w:sz w:val="30"/>
          <w:szCs w:val="30"/>
          <w:highlight w:val="none"/>
        </w:rPr>
        <w:t>-2 依法缴纳税收的相关证明材料</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ind w:firstLine="482"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依法缴纳税收的相关材料：</w:t>
      </w:r>
      <w:r>
        <w:rPr>
          <w:rFonts w:hint="eastAsia" w:ascii="宋体" w:hAnsi="宋体" w:eastAsia="宋体" w:cs="宋体"/>
          <w:color w:val="000000"/>
          <w:sz w:val="24"/>
          <w:szCs w:val="24"/>
          <w:highlight w:val="none"/>
        </w:rPr>
        <w:t>提供投标截止时间前六个月任一个月的依法缴纳税收的凭据；或者提供依法免税的相应证明文件；</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30"/>
          <w:szCs w:val="30"/>
          <w:highlight w:val="none"/>
        </w:rPr>
      </w:pPr>
      <w:r>
        <w:rPr>
          <w:rFonts w:hint="eastAsia" w:ascii="宋体" w:hAnsi="宋体" w:eastAsia="宋体" w:cs="宋体"/>
          <w:color w:val="000000"/>
          <w:sz w:val="24"/>
          <w:szCs w:val="24"/>
          <w:highlight w:val="none"/>
        </w:rPr>
        <w:br w:type="page"/>
      </w:r>
      <w:r>
        <w:rPr>
          <w:rFonts w:hint="eastAsia" w:ascii="宋体" w:hAnsi="宋体" w:eastAsia="宋体" w:cs="宋体"/>
          <w:b/>
          <w:bCs/>
          <w:color w:val="000000"/>
          <w:sz w:val="30"/>
          <w:szCs w:val="30"/>
          <w:highlight w:val="none"/>
        </w:rPr>
        <w:t>二-</w:t>
      </w:r>
      <w:r>
        <w:rPr>
          <w:rFonts w:hint="eastAsia" w:ascii="宋体" w:hAnsi="宋体" w:cs="宋体"/>
          <w:b/>
          <w:bCs/>
          <w:color w:val="000000"/>
          <w:sz w:val="30"/>
          <w:szCs w:val="30"/>
          <w:highlight w:val="none"/>
          <w:lang w:val="en-US" w:eastAsia="zh-CN"/>
        </w:rPr>
        <w:t>5</w:t>
      </w:r>
      <w:r>
        <w:rPr>
          <w:rFonts w:hint="eastAsia" w:ascii="宋体" w:hAnsi="宋体" w:eastAsia="宋体" w:cs="宋体"/>
          <w:b/>
          <w:bCs/>
          <w:color w:val="000000"/>
          <w:sz w:val="30"/>
          <w:szCs w:val="30"/>
          <w:highlight w:val="none"/>
        </w:rPr>
        <w:t>-3 依法缴纳社会保障资金的相关材料</w:t>
      </w:r>
    </w:p>
    <w:p>
      <w:pPr>
        <w:pageBreakBefore w:val="0"/>
        <w:widowControl/>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ind w:firstLine="482"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依法缴纳社会保障资金的相关材料：</w:t>
      </w:r>
      <w:r>
        <w:rPr>
          <w:rFonts w:hint="eastAsia" w:ascii="宋体" w:hAnsi="宋体" w:eastAsia="宋体" w:cs="宋体"/>
          <w:color w:val="000000"/>
          <w:sz w:val="24"/>
          <w:szCs w:val="24"/>
          <w:highlight w:val="none"/>
        </w:rPr>
        <w:t>提供投标截止时间前六个月任一个月的依法缴纳社会保障资金的凭据；或者提供依法不需要缴纳社会保障资金的相应证明文件。</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outlineLvl w:val="9"/>
        <w:rPr>
          <w:rFonts w:hint="eastAsia" w:ascii="宋体" w:hAnsi="宋体" w:eastAsia="宋体" w:cs="宋体"/>
          <w:b/>
          <w:bCs/>
          <w:color w:val="000000"/>
          <w:sz w:val="30"/>
          <w:szCs w:val="30"/>
          <w:highlight w:val="none"/>
        </w:rPr>
      </w:pPr>
    </w:p>
    <w:p>
      <w:pPr>
        <w:outlineLvl w:val="9"/>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br w:type="page"/>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二-</w:t>
      </w:r>
      <w:r>
        <w:rPr>
          <w:rFonts w:hint="eastAsia" w:ascii="宋体" w:hAnsi="宋体" w:cs="宋体"/>
          <w:b/>
          <w:bCs/>
          <w:color w:val="000000"/>
          <w:sz w:val="30"/>
          <w:szCs w:val="30"/>
          <w:highlight w:val="none"/>
          <w:lang w:val="en-US" w:eastAsia="zh-CN"/>
        </w:rPr>
        <w:t>6</w:t>
      </w:r>
      <w:r>
        <w:rPr>
          <w:rFonts w:hint="eastAsia" w:ascii="宋体" w:hAnsi="宋体" w:eastAsia="宋体" w:cs="宋体"/>
          <w:b/>
          <w:bCs/>
          <w:color w:val="000000"/>
          <w:sz w:val="30"/>
          <w:szCs w:val="30"/>
          <w:highlight w:val="none"/>
        </w:rPr>
        <w:t xml:space="preserve"> 参加</w:t>
      </w:r>
      <w:r>
        <w:rPr>
          <w:rFonts w:hint="eastAsia" w:ascii="宋体" w:hAnsi="宋体" w:eastAsia="宋体" w:cs="宋体"/>
          <w:b/>
          <w:bCs/>
          <w:color w:val="000000"/>
          <w:sz w:val="30"/>
          <w:szCs w:val="30"/>
          <w:highlight w:val="none"/>
          <w:lang w:eastAsia="zh-CN"/>
        </w:rPr>
        <w:t>招标</w:t>
      </w:r>
      <w:r>
        <w:rPr>
          <w:rFonts w:hint="eastAsia" w:ascii="宋体" w:hAnsi="宋体" w:eastAsia="宋体" w:cs="宋体"/>
          <w:b/>
          <w:bCs/>
          <w:color w:val="000000"/>
          <w:sz w:val="30"/>
          <w:szCs w:val="30"/>
          <w:highlight w:val="none"/>
        </w:rPr>
        <w:t>活动前3年内在经营活动中没有</w:t>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重大违法记录的书面声明</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致：(采购人或采购代理机构)</w:t>
      </w:r>
    </w:p>
    <w:p>
      <w:pPr>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p>
      <w:pPr>
        <w:pageBreakBefore w:val="0"/>
        <w:widowControl/>
        <w:kinsoku/>
        <w:overflowPunct/>
        <w:topLinePunct w:val="0"/>
        <w:autoSpaceDE/>
        <w:autoSpaceDN/>
        <w:bidi w:val="0"/>
        <w:adjustRightInd/>
        <w:spacing w:beforeAutospacing="0" w:afterAutospacing="0" w:line="360" w:lineRule="auto"/>
        <w:ind w:firstLine="420"/>
        <w:jc w:val="left"/>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参加</w:t>
      </w:r>
      <w:r>
        <w:rPr>
          <w:rFonts w:hint="eastAsia" w:ascii="宋体" w:hAnsi="宋体" w:eastAsia="宋体" w:cs="宋体"/>
          <w:color w:val="000000"/>
          <w:kern w:val="0"/>
          <w:sz w:val="24"/>
          <w:szCs w:val="24"/>
          <w:highlight w:val="none"/>
          <w:lang w:eastAsia="zh-CN"/>
        </w:rPr>
        <w:t>招标</w:t>
      </w:r>
      <w:r>
        <w:rPr>
          <w:rFonts w:hint="eastAsia" w:ascii="宋体" w:hAnsi="宋体" w:eastAsia="宋体" w:cs="宋体"/>
          <w:color w:val="000000"/>
          <w:kern w:val="0"/>
          <w:sz w:val="24"/>
          <w:szCs w:val="24"/>
          <w:highlight w:val="none"/>
        </w:rPr>
        <w:t>活动前三年内，我方在经营活动中没有重大违法记录，也无行贿犯罪记录，否则产生不利后果由我方承担责任。</w:t>
      </w:r>
    </w:p>
    <w:p>
      <w:pPr>
        <w:pageBreakBefore w:val="0"/>
        <w:kinsoku/>
        <w:overflowPunct/>
        <w:topLinePunct w:val="0"/>
        <w:autoSpaceDE/>
        <w:autoSpaceDN/>
        <w:bidi w:val="0"/>
        <w:adjustRightInd/>
        <w:spacing w:beforeAutospacing="0" w:afterAutospacing="0" w:line="360" w:lineRule="auto"/>
        <w:ind w:firstLine="480" w:firstLineChars="200"/>
        <w:jc w:val="left"/>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特此声明。</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br w:type="textWrapping"/>
      </w:r>
    </w:p>
    <w:p>
      <w:pPr>
        <w:pageBreakBefore w:val="0"/>
        <w:kinsoku/>
        <w:overflowPunct/>
        <w:topLinePunct w:val="0"/>
        <w:autoSpaceDE/>
        <w:autoSpaceDN/>
        <w:bidi w:val="0"/>
        <w:adjustRightInd/>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br w:type="textWrapping"/>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rPr>
        <w:br w:type="page"/>
      </w:r>
      <w:bookmarkStart w:id="163" w:name="_Toc28496"/>
      <w:bookmarkStart w:id="164" w:name="_Toc913"/>
      <w:bookmarkStart w:id="165" w:name="_Toc28463"/>
      <w:bookmarkStart w:id="166" w:name="_Toc2115"/>
      <w:r>
        <w:rPr>
          <w:rFonts w:hint="eastAsia" w:ascii="宋体" w:hAnsi="宋体" w:eastAsia="宋体" w:cs="宋体"/>
          <w:b/>
          <w:bCs/>
          <w:color w:val="000000"/>
          <w:sz w:val="24"/>
          <w:szCs w:val="24"/>
          <w:highlight w:val="none"/>
        </w:rPr>
        <w:t>投标人在投标截止时点前通过“信用中国”网站（www.creditchina.gov.cn）查询并打印相应的信用记录，投标人提供的查询结果应为其通过上述网站获取的信用信息查询结果原始页面的打印件（或截图）</w:t>
      </w:r>
      <w:bookmarkEnd w:id="163"/>
      <w:bookmarkEnd w:id="164"/>
      <w:bookmarkEnd w:id="165"/>
      <w:bookmarkEnd w:id="166"/>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rPr>
        <w:br w:type="page"/>
      </w:r>
      <w:bookmarkStart w:id="167" w:name="_Toc17464"/>
      <w:bookmarkStart w:id="168" w:name="_Toc3535"/>
      <w:bookmarkStart w:id="169" w:name="_Toc5444"/>
      <w:bookmarkStart w:id="170" w:name="_Toc27188"/>
      <w:r>
        <w:rPr>
          <w:rFonts w:hint="eastAsia" w:ascii="宋体" w:hAnsi="宋体" w:eastAsia="宋体" w:cs="宋体"/>
          <w:b/>
          <w:bCs/>
          <w:color w:val="000000"/>
          <w:sz w:val="24"/>
          <w:szCs w:val="24"/>
          <w:highlight w:val="none"/>
        </w:rPr>
        <w:t>投标人在投标截止时点前通过中国政府采购网（www.ccgp.gov.cn）查询并打印相应的信用记录，投标人提供的查询结果应为其通过上述网站获取的信用信息查询结果原始页面的打印件（或截图）</w:t>
      </w:r>
      <w:bookmarkEnd w:id="167"/>
      <w:bookmarkEnd w:id="168"/>
      <w:bookmarkEnd w:id="169"/>
      <w:bookmarkEnd w:id="170"/>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2" w:firstLineChars="200"/>
        <w:jc w:val="center"/>
        <w:textAlignment w:val="auto"/>
        <w:outlineLvl w:val="9"/>
        <w:rPr>
          <w:rFonts w:hint="eastAsia" w:ascii="宋体" w:hAnsi="宋体" w:eastAsia="宋体" w:cs="宋体"/>
          <w:b/>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Style w:val="219"/>
        <w:pageBreakBefore w:val="0"/>
        <w:kinsoku/>
        <w:overflowPunct/>
        <w:topLinePunct w:val="0"/>
        <w:bidi w:val="0"/>
        <w:adjustRightInd w:val="0"/>
        <w:snapToGrid w:val="0"/>
        <w:spacing w:afterAutospacing="0" w:line="360" w:lineRule="auto"/>
        <w:ind w:firstLine="472" w:firstLineChars="196"/>
        <w:outlineLvl w:val="9"/>
        <w:rPr>
          <w:rFonts w:hint="eastAsia" w:ascii="宋体" w:hAnsi="宋体" w:eastAsia="宋体" w:cs="宋体"/>
          <w:b/>
          <w:bCs/>
          <w:color w:val="000000"/>
          <w:kern w:val="0"/>
          <w:sz w:val="30"/>
          <w:szCs w:val="30"/>
          <w:highlight w:val="none"/>
        </w:rPr>
      </w:pPr>
      <w:r>
        <w:rPr>
          <w:rFonts w:hint="eastAsia" w:ascii="宋体" w:hAnsi="宋体" w:eastAsia="宋体" w:cs="宋体"/>
          <w:b/>
          <w:color w:val="000000"/>
          <w:sz w:val="24"/>
          <w:szCs w:val="24"/>
          <w:highlight w:val="none"/>
        </w:rPr>
        <w:br w:type="page"/>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30"/>
          <w:szCs w:val="30"/>
          <w:highlight w:val="none"/>
        </w:rPr>
      </w:pPr>
      <w:r>
        <w:rPr>
          <w:rFonts w:hint="eastAsia" w:ascii="宋体" w:hAnsi="宋体" w:eastAsia="宋体" w:cs="宋体"/>
          <w:b/>
          <w:bCs/>
          <w:color w:val="000000"/>
          <w:kern w:val="0"/>
          <w:sz w:val="30"/>
          <w:szCs w:val="30"/>
          <w:highlight w:val="none"/>
        </w:rPr>
        <w:t>二-</w:t>
      </w:r>
      <w:r>
        <w:rPr>
          <w:rFonts w:hint="eastAsia" w:ascii="宋体" w:hAnsi="宋体" w:cs="宋体"/>
          <w:b/>
          <w:bCs/>
          <w:color w:val="000000"/>
          <w:kern w:val="0"/>
          <w:sz w:val="30"/>
          <w:szCs w:val="30"/>
          <w:highlight w:val="none"/>
          <w:lang w:val="en-US" w:eastAsia="zh-CN"/>
        </w:rPr>
        <w:t>7</w:t>
      </w:r>
      <w:r>
        <w:rPr>
          <w:rFonts w:hint="eastAsia" w:ascii="宋体" w:hAnsi="宋体" w:eastAsia="宋体" w:cs="宋体"/>
          <w:b/>
          <w:bCs/>
          <w:color w:val="000000"/>
          <w:sz w:val="30"/>
          <w:szCs w:val="30"/>
          <w:highlight w:val="none"/>
        </w:rPr>
        <w:t>投标人提交的其他资格证明文件</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★注意：</w:t>
      </w:r>
    </w:p>
    <w:p>
      <w:pPr>
        <w:pageBreakBefore w:val="0"/>
        <w:kinsoku/>
        <w:overflowPunct/>
        <w:topLinePunct w:val="0"/>
        <w:autoSpaceDE/>
        <w:autoSpaceDN/>
        <w:bidi w:val="0"/>
        <w:adjustRightInd/>
        <w:spacing w:beforeAutospacing="0" w:afterAutospacing="0" w:line="360" w:lineRule="auto"/>
        <w:ind w:firstLine="720" w:firstLineChars="300"/>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rPr>
        <w:t>招标文件要求或投标人认为应提交的其他资格证明材料, 可在此附件中提交。</w:t>
      </w: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b/>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xml:space="preserve">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24"/>
          <w:szCs w:val="24"/>
          <w:highlight w:val="none"/>
        </w:rPr>
        <w:br w:type="page"/>
      </w:r>
      <w:r>
        <w:rPr>
          <w:rFonts w:hint="eastAsia" w:ascii="宋体" w:hAnsi="宋体" w:eastAsia="宋体" w:cs="宋体"/>
          <w:b/>
          <w:color w:val="000000"/>
          <w:sz w:val="30"/>
          <w:szCs w:val="30"/>
          <w:highlight w:val="none"/>
        </w:rPr>
        <w:t>三、保证金提交声明函</w:t>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Style w:val="38"/>
        <w:pageBreakBefore w:val="0"/>
        <w:kinsoku/>
        <w:overflowPunct/>
        <w:bidi w:val="0"/>
        <w:spacing w:line="360" w:lineRule="auto"/>
        <w:jc w:val="both"/>
        <w:outlineLvl w:val="9"/>
        <w:rPr>
          <w:rFonts w:hint="eastAsia" w:ascii="宋体" w:hAnsi="宋体" w:eastAsia="宋体" w:cs="宋体"/>
          <w:color w:val="000000"/>
          <w:sz w:val="24"/>
          <w:szCs w:val="24"/>
          <w:highlight w:val="none"/>
        </w:rPr>
      </w:pPr>
      <w:bookmarkStart w:id="171" w:name="_Toc14692"/>
      <w:bookmarkStart w:id="172" w:name="_Toc25973"/>
      <w:bookmarkStart w:id="173" w:name="_Toc24492"/>
      <w:bookmarkStart w:id="174" w:name="_Toc20524"/>
      <w:r>
        <w:rPr>
          <w:rFonts w:hint="eastAsia" w:ascii="宋体" w:hAnsi="宋体" w:eastAsia="宋体" w:cs="宋体"/>
          <w:color w:val="000000"/>
          <w:sz w:val="24"/>
          <w:szCs w:val="24"/>
          <w:highlight w:val="none"/>
        </w:rPr>
        <w:t>致：福建省天海招标有限公司</w:t>
      </w:r>
      <w:bookmarkEnd w:id="171"/>
      <w:bookmarkEnd w:id="172"/>
      <w:bookmarkEnd w:id="173"/>
      <w:bookmarkEnd w:id="174"/>
    </w:p>
    <w:p>
      <w:pPr>
        <w:pStyle w:val="38"/>
        <w:pageBreakBefore w:val="0"/>
        <w:kinsoku/>
        <w:overflowPunct/>
        <w:bidi w:val="0"/>
        <w:spacing w:line="360" w:lineRule="auto"/>
        <w:outlineLvl w:val="9"/>
        <w:rPr>
          <w:rFonts w:hint="eastAsia" w:ascii="宋体" w:hAnsi="宋体" w:eastAsia="宋体" w:cs="宋体"/>
          <w:color w:val="000000"/>
          <w:sz w:val="24"/>
          <w:szCs w:val="24"/>
          <w:highlight w:val="none"/>
        </w:rPr>
      </w:pPr>
    </w:p>
    <w:p>
      <w:pPr>
        <w:pStyle w:val="50"/>
        <w:pageBreakBefore w:val="0"/>
        <w:kinsoku/>
        <w:overflowPunct/>
        <w:topLinePunct w:val="0"/>
        <w:autoSpaceDE/>
        <w:autoSpaceDN/>
        <w:bidi w:val="0"/>
        <w:adjustRightInd/>
        <w:snapToGrid w:val="0"/>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我们在贵公司组织的</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项目招标中投标（招标编号：</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），我们按招标文件的规定，以</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付款方式，向贵公司缴交投标保证金。</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color w:val="000000"/>
          <w:sz w:val="24"/>
          <w:szCs w:val="24"/>
          <w:highlight w:val="none"/>
        </w:rPr>
      </w:pPr>
    </w:p>
    <w:p>
      <w:pPr>
        <w:pageBreakBefore w:val="0"/>
        <w:tabs>
          <w:tab w:val="left" w:pos="795"/>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ab/>
      </w:r>
      <w:r>
        <w:rPr>
          <w:rFonts w:hint="eastAsia" w:ascii="宋体" w:hAnsi="宋体" w:eastAsia="宋体" w:cs="宋体"/>
          <w:b/>
          <w:bCs/>
          <w:color w:val="000000"/>
          <w:sz w:val="24"/>
          <w:szCs w:val="24"/>
          <w:highlight w:val="none"/>
        </w:rPr>
        <w:t>附：</w:t>
      </w:r>
      <w:r>
        <w:rPr>
          <w:rFonts w:hint="eastAsia" w:ascii="宋体" w:hAnsi="宋体" w:eastAsia="宋体" w:cs="宋体"/>
          <w:color w:val="000000"/>
          <w:sz w:val="24"/>
          <w:szCs w:val="24"/>
          <w:highlight w:val="none"/>
        </w:rPr>
        <w:t>缴交投标保证金凭证复印件</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color w:val="000000"/>
          <w:sz w:val="24"/>
          <w:szCs w:val="24"/>
          <w:highlight w:val="none"/>
        </w:rPr>
      </w:pPr>
    </w:p>
    <w:tbl>
      <w:tblPr>
        <w:tblStyle w:val="40"/>
        <w:tblW w:w="8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0" w:hRule="atLeast"/>
          <w:jc w:val="center"/>
        </w:trPr>
        <w:tc>
          <w:tcPr>
            <w:tcW w:w="8229" w:type="dxa"/>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i/>
                <w:color w:val="000000"/>
                <w:sz w:val="24"/>
                <w:szCs w:val="24"/>
                <w:highlight w:val="none"/>
              </w:rPr>
            </w:pPr>
            <w:r>
              <w:rPr>
                <w:rFonts w:hint="eastAsia" w:ascii="宋体" w:hAnsi="宋体" w:eastAsia="宋体" w:cs="宋体"/>
                <w:i/>
                <w:color w:val="000000"/>
                <w:sz w:val="24"/>
                <w:szCs w:val="24"/>
                <w:highlight w:val="none"/>
              </w:rPr>
              <w:t>复印件粘贴处</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color w:val="000000"/>
                <w:sz w:val="24"/>
                <w:szCs w:val="24"/>
                <w:highlight w:val="none"/>
              </w:rPr>
            </w:pPr>
          </w:p>
        </w:tc>
      </w:tr>
    </w:tbl>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bCs/>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代表签字：</w:t>
      </w:r>
      <w:r>
        <w:rPr>
          <w:rFonts w:hint="eastAsia" w:ascii="宋体" w:hAnsi="宋体" w:eastAsia="宋体" w:cs="宋体"/>
          <w:color w:val="000000"/>
          <w:sz w:val="24"/>
          <w:szCs w:val="24"/>
          <w:highlight w:val="none"/>
          <w:u w:val="single"/>
        </w:rPr>
        <w:t>        </w:t>
      </w:r>
    </w:p>
    <w:p>
      <w:pPr>
        <w:pStyle w:val="50"/>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地址：__________________________</w:t>
      </w:r>
    </w:p>
    <w:p>
      <w:pPr>
        <w:pStyle w:val="50"/>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邮编：__________   电话：__________    传真：__________</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kern w:val="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color w:val="000000"/>
          <w:kern w:val="0"/>
          <w:sz w:val="24"/>
          <w:szCs w:val="24"/>
          <w:highlight w:val="none"/>
        </w:rPr>
        <w:br w:type="page"/>
      </w:r>
      <w:r>
        <w:rPr>
          <w:rFonts w:hint="eastAsia" w:ascii="宋体" w:hAnsi="宋体" w:eastAsia="宋体" w:cs="宋体"/>
          <w:b/>
          <w:color w:val="000000"/>
          <w:sz w:val="30"/>
          <w:szCs w:val="30"/>
          <w:highlight w:val="none"/>
        </w:rPr>
        <w:t>四、退回投标保证金的申请函</w:t>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rPr>
        <w:t>致：福建省天海招标有限公司</w:t>
      </w:r>
    </w:p>
    <w:p>
      <w:pPr>
        <w:pageBreakBefore w:val="0"/>
        <w:kinsoku/>
        <w:overflowPunct/>
        <w:topLinePunct w:val="0"/>
        <w:autoSpaceDE/>
        <w:autoSpaceDN/>
        <w:bidi w:val="0"/>
        <w:adjustRightInd/>
        <w:spacing w:beforeAutospacing="0" w:afterAutospacing="0" w:line="360" w:lineRule="auto"/>
        <w:ind w:left="281" w:leftChars="134" w:firstLine="240" w:firstLineChars="1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兹有我公司参加贵公司</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日（开标时间）的</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（招标编号）</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（项目名称)的招标活动中，本公司以</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（同城转帐/异地电汇）形式缴纳投标保证金（大写）</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（小写¥         ），我司中标后，已与采购方签订政府采购合同，请贵司给予办理退还投标保证金手续（或：我司未中标，依相关规定请贵公司给予退还投标保证金）。</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widowControl/>
        <w:kinsoku/>
        <w:overflowPunct/>
        <w:topLinePunct w:val="0"/>
        <w:autoSpaceDE/>
        <w:autoSpaceDN/>
        <w:bidi w:val="0"/>
        <w:adjustRightInd/>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投标人全称（全称并加盖公章）：</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 xml:space="preserve"> </w:t>
      </w:r>
    </w:p>
    <w:p>
      <w:pPr>
        <w:pageBreakBefore w:val="0"/>
        <w:widowControl/>
        <w:kinsoku/>
        <w:overflowPunct/>
        <w:topLinePunct w:val="0"/>
        <w:autoSpaceDE/>
        <w:autoSpaceDN/>
        <w:bidi w:val="0"/>
        <w:adjustRightInd/>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开户银行：</w:t>
      </w:r>
      <w:r>
        <w:rPr>
          <w:rFonts w:hint="eastAsia" w:ascii="宋体" w:hAnsi="宋体" w:eastAsia="宋体" w:cs="宋体"/>
          <w:color w:val="000000"/>
          <w:sz w:val="24"/>
          <w:szCs w:val="24"/>
          <w:highlight w:val="none"/>
          <w:u w:val="single"/>
        </w:rPr>
        <w:t>              </w:t>
      </w:r>
    </w:p>
    <w:p>
      <w:pPr>
        <w:pageBreakBefore w:val="0"/>
        <w:widowControl/>
        <w:kinsoku/>
        <w:overflowPunct/>
        <w:topLinePunct w:val="0"/>
        <w:autoSpaceDE/>
        <w:autoSpaceDN/>
        <w:bidi w:val="0"/>
        <w:adjustRightInd/>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账    号：</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 xml:space="preserve">         </w:t>
      </w:r>
    </w:p>
    <w:p>
      <w:pPr>
        <w:pageBreakBefore w:val="0"/>
        <w:widowControl/>
        <w:kinsoku/>
        <w:overflowPunct/>
        <w:topLinePunct w:val="0"/>
        <w:autoSpaceDE/>
        <w:autoSpaceDN/>
        <w:bidi w:val="0"/>
        <w:adjustRightInd/>
        <w:spacing w:beforeAutospacing="0" w:afterAutospacing="0" w:line="360" w:lineRule="auto"/>
        <w:ind w:firstLine="480" w:firstLineChars="20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公司所属省份、市/县：</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 xml:space="preserve"> </w:t>
      </w:r>
    </w:p>
    <w:p>
      <w:pPr>
        <w:pageBreakBefore w:val="0"/>
        <w:widowControl/>
        <w:kinsoku/>
        <w:overflowPunct/>
        <w:topLinePunct w:val="0"/>
        <w:autoSpaceDE/>
        <w:autoSpaceDN/>
        <w:bidi w:val="0"/>
        <w:adjustRightInd/>
        <w:spacing w:beforeAutospacing="0" w:afterAutospacing="0" w:line="360" w:lineRule="auto"/>
        <w:jc w:val="right"/>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                        投标人（全称并加盖公章）： </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投标人代表签字：</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ind w:firstLine="2880" w:firstLineChars="1200"/>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邮 编：</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电 话：</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                        传 真：</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日 期： </w:t>
      </w:r>
      <w:r>
        <w:rPr>
          <w:rFonts w:hint="eastAsia" w:ascii="宋体" w:hAnsi="宋体" w:eastAsia="宋体" w:cs="宋体"/>
          <w:color w:val="000000"/>
          <w:sz w:val="24"/>
          <w:szCs w:val="24"/>
          <w:highlight w:val="none"/>
          <w:u w:val="single"/>
        </w:rPr>
        <w:t xml:space="preserve">         </w:t>
      </w:r>
    </w:p>
    <w:p>
      <w:pPr>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u w:val="single"/>
        </w:rPr>
        <w:br w:type="page"/>
      </w:r>
    </w:p>
    <w:p>
      <w:pPr>
        <w:pageBreakBefore w:val="0"/>
        <w:tabs>
          <w:tab w:val="left" w:pos="900"/>
          <w:tab w:val="left" w:pos="5166"/>
        </w:tabs>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bCs/>
          <w:color w:val="000000"/>
          <w:sz w:val="30"/>
          <w:szCs w:val="30"/>
          <w:highlight w:val="none"/>
        </w:rPr>
        <w:t>五、招标代理服务费承诺书</w:t>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致： 福建省天海招标有限公司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我们在贵公司组织的</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项目公开招标中投标（招标编号：</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），如获中标，我们保证按公开招标文件的规定，以转账方式或经贵公司认可的其他付款方式，向贵公司缴交招标代理服务费。</w:t>
      </w: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我方如违反上述承诺，所提交的上述项目的投标保证金将不予退还我方，我方对此无异议。</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特此承诺！</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3240" w:firstLineChars="1350"/>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 投标人（全称并加盖公章）： </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投标人代表签字或盖章：</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ind w:firstLine="3360" w:firstLineChars="1400"/>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邮 编：</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电 话：</w:t>
      </w:r>
      <w:r>
        <w:rPr>
          <w:rFonts w:hint="eastAsia" w:ascii="宋体" w:hAnsi="宋体" w:eastAsia="宋体" w:cs="宋体"/>
          <w:color w:val="000000"/>
          <w:sz w:val="24"/>
          <w:szCs w:val="24"/>
          <w:highlight w:val="none"/>
          <w:u w:val="single"/>
        </w:rPr>
        <w:t xml:space="preserve">          </w:t>
      </w:r>
    </w:p>
    <w:p>
      <w:pPr>
        <w:pageBreakBefore w:val="0"/>
        <w:tabs>
          <w:tab w:val="left" w:pos="900"/>
          <w:tab w:val="left" w:pos="5166"/>
        </w:tabs>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                            传 真：</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日 期： </w:t>
      </w:r>
      <w:r>
        <w:rPr>
          <w:rFonts w:hint="eastAsia" w:ascii="宋体" w:hAnsi="宋体" w:eastAsia="宋体" w:cs="宋体"/>
          <w:color w:val="000000"/>
          <w:sz w:val="24"/>
          <w:szCs w:val="24"/>
          <w:highlight w:val="none"/>
          <w:u w:val="single"/>
        </w:rPr>
        <w:t xml:space="preserve">         </w:t>
      </w:r>
    </w:p>
    <w:p>
      <w:pPr>
        <w:pStyle w:val="38"/>
        <w:outlineLvl w:val="9"/>
        <w:rPr>
          <w:rFonts w:hint="eastAsia"/>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p>
      <w:pPr>
        <w:pageBreakBefore w:val="0"/>
        <w:tabs>
          <w:tab w:val="left" w:pos="900"/>
          <w:tab w:val="left" w:pos="5166"/>
        </w:tabs>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br w:type="page"/>
      </w:r>
      <w:r>
        <w:rPr>
          <w:rStyle w:val="43"/>
          <w:rFonts w:hint="eastAsia" w:ascii="宋体" w:hAnsi="宋体" w:eastAsia="宋体" w:cs="宋体"/>
          <w:color w:val="000000"/>
          <w:sz w:val="44"/>
          <w:szCs w:val="44"/>
          <w:highlight w:val="none"/>
          <w:shd w:val="clear" w:color="auto" w:fill="FFFFFF"/>
        </w:rPr>
        <w:t>封面格式</w:t>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72"/>
          <w:szCs w:val="72"/>
          <w:highlight w:val="none"/>
        </w:rPr>
      </w:pPr>
      <w:r>
        <w:rPr>
          <w:rFonts w:hint="eastAsia" w:ascii="宋体" w:hAnsi="宋体" w:eastAsia="宋体" w:cs="宋体"/>
          <w:b/>
          <w:color w:val="000000"/>
          <w:sz w:val="72"/>
          <w:szCs w:val="72"/>
          <w:highlight w:val="none"/>
        </w:rPr>
        <w:t>投  标  文  件</w:t>
      </w:r>
    </w:p>
    <w:p>
      <w:pPr>
        <w:pageBreakBefore w:val="0"/>
        <w:kinsoku/>
        <w:overflowPunct/>
        <w:topLinePunct w:val="0"/>
        <w:autoSpaceDE/>
        <w:autoSpaceDN/>
        <w:bidi w:val="0"/>
        <w:adjustRightInd/>
        <w:spacing w:beforeAutospacing="0" w:afterAutospacing="0" w:line="360" w:lineRule="auto"/>
        <w:jc w:val="center"/>
        <w:textAlignment w:val="auto"/>
        <w:outlineLvl w:val="1"/>
        <w:rPr>
          <w:rFonts w:hint="eastAsia" w:ascii="宋体" w:hAnsi="宋体" w:eastAsia="宋体" w:cs="宋体"/>
          <w:b/>
          <w:color w:val="000000"/>
          <w:sz w:val="72"/>
          <w:szCs w:val="72"/>
          <w:highlight w:val="none"/>
        </w:rPr>
      </w:pPr>
      <w:bookmarkStart w:id="175" w:name="_Toc26210"/>
      <w:r>
        <w:rPr>
          <w:rFonts w:hint="eastAsia" w:ascii="宋体" w:hAnsi="宋体" w:eastAsia="宋体" w:cs="宋体"/>
          <w:b/>
          <w:color w:val="000000"/>
          <w:sz w:val="72"/>
          <w:szCs w:val="72"/>
          <w:highlight w:val="none"/>
        </w:rPr>
        <w:t>（报价部分）</w:t>
      </w:r>
      <w:bookmarkEnd w:id="175"/>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904" w:firstLineChars="300"/>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项 目 名 称：</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ind w:firstLine="904" w:firstLineChars="300"/>
        <w:textAlignment w:val="auto"/>
        <w:outlineLvl w:val="9"/>
        <w:rPr>
          <w:rFonts w:hint="eastAsia" w:ascii="宋体" w:hAnsi="宋体" w:eastAsia="宋体" w:cs="宋体"/>
          <w:b/>
          <w:color w:val="000000"/>
          <w:sz w:val="30"/>
          <w:szCs w:val="30"/>
          <w:highlight w:val="none"/>
          <w:u w:val="single"/>
        </w:rPr>
      </w:pPr>
      <w:r>
        <w:rPr>
          <w:rFonts w:hint="eastAsia" w:ascii="宋体" w:hAnsi="宋体" w:eastAsia="宋体" w:cs="宋体"/>
          <w:b/>
          <w:color w:val="000000"/>
          <w:sz w:val="30"/>
          <w:szCs w:val="30"/>
          <w:highlight w:val="none"/>
        </w:rPr>
        <w:t>招 标 编 号：</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ind w:firstLine="888" w:firstLineChars="295"/>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所投合同包：</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u w:val="single"/>
        </w:rPr>
      </w:pPr>
      <w:r>
        <w:rPr>
          <w:rFonts w:hint="eastAsia" w:ascii="宋体" w:hAnsi="宋体" w:eastAsia="宋体" w:cs="宋体"/>
          <w:b/>
          <w:color w:val="000000"/>
          <w:sz w:val="30"/>
          <w:szCs w:val="30"/>
          <w:highlight w:val="none"/>
        </w:rPr>
        <w:t xml:space="preserve">     投标人名称：</w:t>
      </w:r>
      <w:r>
        <w:rPr>
          <w:rFonts w:hint="eastAsia" w:ascii="宋体" w:hAnsi="宋体" w:eastAsia="宋体" w:cs="宋体"/>
          <w:b/>
          <w:color w:val="000000"/>
          <w:sz w:val="30"/>
          <w:szCs w:val="30"/>
          <w:highlight w:val="none"/>
          <w:u w:val="single"/>
        </w:rPr>
        <w:t xml:space="preserve"> （全称并加盖公章）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 xml:space="preserve">     日      期 ：</w:t>
      </w:r>
      <w:r>
        <w:rPr>
          <w:rFonts w:hint="eastAsia" w:ascii="宋体" w:hAnsi="宋体" w:eastAsia="宋体" w:cs="宋体"/>
          <w:b/>
          <w:color w:val="000000"/>
          <w:sz w:val="30"/>
          <w:szCs w:val="30"/>
          <w:highlight w:val="none"/>
          <w:u w:val="single"/>
        </w:rPr>
        <w:t xml:space="preserve">               </w:t>
      </w:r>
    </w:p>
    <w:p>
      <w:pPr>
        <w:pStyle w:val="126"/>
        <w:pageBreakBefore w:val="0"/>
        <w:kinsoku/>
        <w:overflowPunct/>
        <w:topLinePunct w:val="0"/>
        <w:autoSpaceDE/>
        <w:autoSpaceDN/>
        <w:bidi w:val="0"/>
        <w:adjustRightInd/>
        <w:snapToGrid w:val="0"/>
        <w:spacing w:beforeAutospacing="0" w:afterAutospacing="0" w:line="360" w:lineRule="auto"/>
        <w:ind w:firstLine="0"/>
        <w:textAlignment w:val="auto"/>
        <w:outlineLvl w:val="9"/>
        <w:rPr>
          <w:rFonts w:hint="eastAsia" w:ascii="宋体" w:hAnsi="宋体" w:eastAsia="宋体" w:cs="宋体"/>
          <w:b/>
          <w:bCs/>
          <w:color w:val="000000"/>
          <w:sz w:val="24"/>
          <w:szCs w:val="24"/>
          <w:highlight w:val="none"/>
        </w:rPr>
      </w:pPr>
    </w:p>
    <w:p>
      <w:pPr>
        <w:pStyle w:val="126"/>
        <w:pageBreakBefore w:val="0"/>
        <w:kinsoku/>
        <w:overflowPunct/>
        <w:topLinePunct w:val="0"/>
        <w:autoSpaceDE/>
        <w:autoSpaceDN/>
        <w:bidi w:val="0"/>
        <w:adjustRightInd/>
        <w:snapToGrid w:val="0"/>
        <w:spacing w:beforeAutospacing="0" w:afterAutospacing="0" w:line="360" w:lineRule="auto"/>
        <w:ind w:firstLine="663" w:firstLineChars="275"/>
        <w:jc w:val="center"/>
        <w:textAlignment w:val="auto"/>
        <w:outlineLvl w:val="9"/>
        <w:rPr>
          <w:rFonts w:hint="eastAsia" w:ascii="宋体" w:hAnsi="宋体" w:eastAsia="宋体" w:cs="宋体"/>
          <w:b/>
          <w:bCs/>
          <w:color w:val="000000"/>
          <w:sz w:val="24"/>
          <w:szCs w:val="24"/>
          <w:highlight w:val="none"/>
        </w:rPr>
      </w:pPr>
    </w:p>
    <w:p>
      <w:pPr>
        <w:pStyle w:val="126"/>
        <w:pageBreakBefore w:val="0"/>
        <w:kinsoku/>
        <w:overflowPunct/>
        <w:topLinePunct w:val="0"/>
        <w:autoSpaceDE/>
        <w:autoSpaceDN/>
        <w:bidi w:val="0"/>
        <w:adjustRightInd/>
        <w:snapToGrid w:val="0"/>
        <w:spacing w:beforeAutospacing="0" w:afterAutospacing="0" w:line="360" w:lineRule="auto"/>
        <w:ind w:firstLine="663" w:firstLineChars="275"/>
        <w:jc w:val="center"/>
        <w:textAlignment w:val="auto"/>
        <w:outlineLvl w:val="9"/>
        <w:rPr>
          <w:rFonts w:hint="eastAsia" w:ascii="宋体" w:hAnsi="宋体" w:eastAsia="宋体" w:cs="宋体"/>
          <w:b/>
          <w:bCs/>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jc w:val="center"/>
        <w:textAlignment w:val="auto"/>
        <w:outlineLvl w:val="9"/>
        <w:rPr>
          <w:rStyle w:val="43"/>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jc w:val="center"/>
        <w:textAlignment w:val="auto"/>
        <w:outlineLvl w:val="9"/>
        <w:rPr>
          <w:rFonts w:hint="eastAsia" w:ascii="宋体" w:hAnsi="宋体" w:eastAsia="宋体" w:cs="宋体"/>
          <w:color w:val="000000"/>
          <w:sz w:val="32"/>
          <w:szCs w:val="32"/>
          <w:highlight w:val="none"/>
        </w:rPr>
      </w:pPr>
      <w:r>
        <w:rPr>
          <w:rStyle w:val="43"/>
          <w:rFonts w:hint="eastAsia" w:ascii="宋体" w:hAnsi="宋体" w:eastAsia="宋体" w:cs="宋体"/>
          <w:color w:val="000000"/>
          <w:sz w:val="32"/>
          <w:szCs w:val="32"/>
          <w:highlight w:val="none"/>
        </w:rPr>
        <w:t>索</w:t>
      </w:r>
      <w:r>
        <w:rPr>
          <w:rStyle w:val="43"/>
          <w:rFonts w:hint="eastAsia" w:ascii="宋体" w:hAnsi="宋体" w:eastAsia="宋体" w:cs="宋体"/>
          <w:color w:val="000000"/>
          <w:sz w:val="32"/>
          <w:szCs w:val="32"/>
          <w:highlight w:val="none"/>
          <w:lang w:val="en-US" w:eastAsia="zh-CN"/>
        </w:rPr>
        <w:t xml:space="preserve"> </w:t>
      </w:r>
      <w:r>
        <w:rPr>
          <w:rStyle w:val="43"/>
          <w:rFonts w:hint="eastAsia" w:ascii="宋体" w:hAnsi="宋体" w:eastAsia="宋体" w:cs="宋体"/>
          <w:color w:val="000000"/>
          <w:sz w:val="32"/>
          <w:szCs w:val="32"/>
          <w:highlight w:val="none"/>
        </w:rPr>
        <w:t>引</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一、</w:t>
      </w:r>
      <w:r>
        <w:rPr>
          <w:rFonts w:hint="eastAsia" w:ascii="宋体" w:hAnsi="宋体" w:eastAsia="宋体" w:cs="宋体"/>
          <w:color w:val="auto"/>
          <w:sz w:val="24"/>
          <w:highlight w:val="none"/>
        </w:rPr>
        <w:t>开标一览表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一</w:t>
      </w:r>
      <w:r>
        <w:rPr>
          <w:rFonts w:hint="eastAsia" w:ascii="宋体" w:hAnsi="宋体" w:cs="宋体"/>
          <w:color w:val="auto"/>
          <w:sz w:val="24"/>
          <w:highlight w:val="none"/>
          <w:lang w:val="en-US" w:eastAsia="zh-CN"/>
        </w:rPr>
        <w:t xml:space="preserve"> -1  </w:t>
      </w:r>
      <w:r>
        <w:rPr>
          <w:rFonts w:hint="eastAsia" w:ascii="宋体" w:hAnsi="宋体" w:eastAsia="宋体" w:cs="宋体"/>
          <w:color w:val="auto"/>
          <w:sz w:val="24"/>
          <w:highlight w:val="none"/>
        </w:rPr>
        <w:t>报价一览表（最终报价表）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eastAsia="zh-CN"/>
        </w:rPr>
        <w:t>二、</w:t>
      </w:r>
      <w:r>
        <w:rPr>
          <w:rFonts w:hint="eastAsia" w:ascii="宋体" w:hAnsi="宋体" w:eastAsia="宋体" w:cs="宋体"/>
          <w:color w:val="auto"/>
          <w:sz w:val="24"/>
          <w:highlight w:val="none"/>
        </w:rPr>
        <w:t>投标分项报价表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Theme="minorEastAsia" w:hAnsiTheme="minorEastAsia" w:eastAsiaTheme="minorEastAsia" w:cstheme="minorEastAsia"/>
          <w:b/>
          <w:bCs/>
          <w:sz w:val="30"/>
          <w:szCs w:val="30"/>
          <w:highlight w:val="none"/>
        </w:rPr>
        <w:sectPr>
          <w:footerReference r:id="rId8" w:type="default"/>
          <w:pgSz w:w="11905" w:h="16838"/>
          <w:pgMar w:top="1417" w:right="1417" w:bottom="964" w:left="1474" w:header="851" w:footer="992" w:gutter="0"/>
          <w:pgNumType w:fmt="decimal" w:start="1"/>
          <w:cols w:space="0" w:num="1"/>
          <w:rtlGutter w:val="0"/>
          <w:docGrid w:linePitch="312" w:charSpace="0"/>
        </w:sectPr>
      </w:pPr>
      <w:r>
        <w:rPr>
          <w:rFonts w:hint="eastAsia" w:ascii="宋体" w:hAnsi="宋体" w:cs="宋体"/>
          <w:color w:val="auto"/>
          <w:sz w:val="24"/>
          <w:highlight w:val="none"/>
          <w:lang w:eastAsia="zh-CN"/>
        </w:rPr>
        <w:t>三、</w:t>
      </w:r>
      <w:r>
        <w:rPr>
          <w:rFonts w:hint="eastAsia" w:ascii="宋体" w:hAnsi="宋体" w:eastAsia="宋体" w:cs="宋体"/>
          <w:color w:val="auto"/>
          <w:sz w:val="24"/>
          <w:highlight w:val="none"/>
          <w:lang w:val="zh-CN"/>
        </w:rPr>
        <w:t>招标文件规定的价格扣除证明材料（若有）</w:t>
      </w:r>
      <w:bookmarkStart w:id="176" w:name="_Toc287002968"/>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lang w:eastAsia="zh-CN"/>
        </w:rPr>
        <w:t>一、</w:t>
      </w:r>
      <w:r>
        <w:rPr>
          <w:rFonts w:hint="eastAsia" w:asciiTheme="minorEastAsia" w:hAnsiTheme="minorEastAsia" w:eastAsiaTheme="minorEastAsia" w:cstheme="minorEastAsia"/>
          <w:b/>
          <w:bCs/>
          <w:sz w:val="30"/>
          <w:szCs w:val="30"/>
          <w:highlight w:val="none"/>
        </w:rPr>
        <w:t>开标一览表</w:t>
      </w:r>
      <w:bookmarkEnd w:id="176"/>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b/>
          <w:bCs/>
          <w:sz w:val="24"/>
          <w:szCs w:val="24"/>
          <w:highlight w:val="none"/>
        </w:rPr>
      </w:pPr>
    </w:p>
    <w:p>
      <w:pPr>
        <w:pStyle w:val="221"/>
        <w:keepNext w:val="0"/>
        <w:keepLines w:val="0"/>
        <w:pageBreakBefore w:val="0"/>
        <w:widowControl w:val="0"/>
        <w:kinsoku/>
        <w:wordWrap/>
        <w:overflowPunct/>
        <w:topLinePunct w:val="0"/>
        <w:bidi w:val="0"/>
        <w:spacing w:line="360" w:lineRule="auto"/>
        <w:ind w:firstLine="360" w:firstLineChars="150"/>
        <w:rPr>
          <w:rFonts w:hint="eastAsia" w:asciiTheme="minorEastAsia" w:hAnsiTheme="minorEastAsia" w:eastAsiaTheme="minorEastAsia" w:cstheme="minorEastAsia"/>
          <w:sz w:val="24"/>
          <w:szCs w:val="24"/>
          <w:highlight w:val="none"/>
        </w:rPr>
      </w:pPr>
    </w:p>
    <w:p>
      <w:pPr>
        <w:pStyle w:val="221"/>
        <w:keepNext w:val="0"/>
        <w:keepLines w:val="0"/>
        <w:pageBreakBefore w:val="0"/>
        <w:widowControl w:val="0"/>
        <w:kinsoku/>
        <w:wordWrap/>
        <w:overflowPunct/>
        <w:topLinePunct w:val="0"/>
        <w:bidi w:val="0"/>
        <w:spacing w:line="360" w:lineRule="auto"/>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名称（公章）：                                    招标编号：                               货币单位：</w:t>
      </w:r>
    </w:p>
    <w:tbl>
      <w:tblPr>
        <w:tblStyle w:val="40"/>
        <w:tblW w:w="13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54"/>
        <w:gridCol w:w="1918"/>
        <w:gridCol w:w="719"/>
        <w:gridCol w:w="1632"/>
        <w:gridCol w:w="1050"/>
        <w:gridCol w:w="1365"/>
        <w:gridCol w:w="265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left="-107" w:leftChars="-51" w:right="-107" w:rightChars="-51"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合同包</w:t>
            </w:r>
          </w:p>
        </w:tc>
        <w:tc>
          <w:tcPr>
            <w:tcW w:w="1954"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货物名称规格</w:t>
            </w:r>
          </w:p>
        </w:tc>
        <w:tc>
          <w:tcPr>
            <w:tcW w:w="1918"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品牌/型号/产地</w:t>
            </w:r>
          </w:p>
        </w:tc>
        <w:tc>
          <w:tcPr>
            <w:tcW w:w="719"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数量</w:t>
            </w:r>
          </w:p>
        </w:tc>
        <w:tc>
          <w:tcPr>
            <w:tcW w:w="1632" w:type="dxa"/>
            <w:tcBorders>
              <w:top w:val="single" w:color="auto" w:sz="4" w:space="0"/>
              <w:left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b/>
                <w:sz w:val="24"/>
                <w:szCs w:val="24"/>
                <w:highlight w:val="none"/>
                <w:lang w:eastAsia="zh-CN"/>
              </w:rPr>
              <w:t>投标单价</w:t>
            </w:r>
          </w:p>
        </w:tc>
        <w:tc>
          <w:tcPr>
            <w:tcW w:w="1050"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交货期</w:t>
            </w:r>
          </w:p>
        </w:tc>
        <w:tc>
          <w:tcPr>
            <w:tcW w:w="1365"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交货地点</w:t>
            </w:r>
          </w:p>
        </w:tc>
        <w:tc>
          <w:tcPr>
            <w:tcW w:w="2651"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left="-1" w:leftChars="-6" w:hanging="12" w:hangingChars="5"/>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付款方式</w:t>
            </w:r>
          </w:p>
        </w:tc>
        <w:tc>
          <w:tcPr>
            <w:tcW w:w="1013"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118" w:firstLineChars="49"/>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9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26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47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该合同包投标总报价</w:t>
            </w:r>
          </w:p>
        </w:tc>
        <w:tc>
          <w:tcPr>
            <w:tcW w:w="843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大写： 人民币                                                 （￥   ）</w:t>
            </w:r>
          </w:p>
        </w:tc>
      </w:tr>
    </w:tbl>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bidi w:val="0"/>
        <w:spacing w:line="360" w:lineRule="auto"/>
        <w:ind w:firstLine="720" w:firstLineChars="300"/>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投 标 人（全称并加盖公章）：</w:t>
      </w:r>
      <w:r>
        <w:rPr>
          <w:rFonts w:hint="eastAsia" w:asciiTheme="minorEastAsia" w:hAnsiTheme="minorEastAsia" w:eastAsiaTheme="minorEastAsia" w:cstheme="minorEastAsia"/>
          <w:b/>
          <w:sz w:val="24"/>
          <w:szCs w:val="24"/>
          <w:highlight w:val="none"/>
          <w:u w:val="single"/>
        </w:rPr>
        <w:t xml:space="preserve">              </w:t>
      </w:r>
    </w:p>
    <w:p>
      <w:pPr>
        <w:keepNext w:val="0"/>
        <w:keepLines w:val="0"/>
        <w:pageBreakBefore w:val="0"/>
        <w:widowControl w:val="0"/>
        <w:kinsoku/>
        <w:wordWrap/>
        <w:overflowPunct/>
        <w:topLinePunct w:val="0"/>
        <w:bidi w:val="0"/>
        <w:spacing w:line="360" w:lineRule="auto"/>
        <w:ind w:firstLine="720" w:firstLineChars="300"/>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代表签字：</w:t>
      </w:r>
      <w:r>
        <w:rPr>
          <w:rFonts w:hint="eastAsia" w:asciiTheme="minorEastAsia" w:hAnsiTheme="minorEastAsia" w:eastAsiaTheme="minorEastAsia" w:cstheme="minorEastAsia"/>
          <w:b/>
          <w:sz w:val="24"/>
          <w:szCs w:val="24"/>
          <w:highlight w:val="none"/>
          <w:u w:val="single"/>
        </w:rPr>
        <w:t xml:space="preserve">              </w:t>
      </w:r>
    </w:p>
    <w:p>
      <w:pPr>
        <w:keepNext w:val="0"/>
        <w:keepLines w:val="0"/>
        <w:pageBreakBefore w:val="0"/>
        <w:widowControl w:val="0"/>
        <w:kinsoku/>
        <w:wordWrap/>
        <w:overflowPunct/>
        <w:topLinePunct w:val="0"/>
        <w:bidi w:val="0"/>
        <w:spacing w:line="360" w:lineRule="auto"/>
        <w:ind w:firstLine="720" w:firstLineChars="300"/>
        <w:rPr>
          <w:rFonts w:hint="eastAsia" w:asciiTheme="minorEastAsia" w:hAnsiTheme="minorEastAsia" w:eastAsiaTheme="minorEastAsia" w:cstheme="minorEastAsia"/>
          <w:b/>
          <w:sz w:val="24"/>
          <w:szCs w:val="24"/>
          <w:highlight w:val="none"/>
          <w:u w:val="single"/>
        </w:rPr>
      </w:pPr>
      <w:r>
        <w:rPr>
          <w:rFonts w:hint="eastAsia" w:asciiTheme="minorEastAsia" w:hAnsiTheme="minorEastAsia" w:eastAsiaTheme="minorEastAsia" w:cstheme="minorEastAsia"/>
          <w:sz w:val="24"/>
          <w:szCs w:val="24"/>
          <w:highlight w:val="none"/>
        </w:rPr>
        <w:t>日      期：</w:t>
      </w:r>
      <w:r>
        <w:rPr>
          <w:rFonts w:hint="eastAsia" w:asciiTheme="minorEastAsia" w:hAnsiTheme="minorEastAsia" w:eastAsiaTheme="minorEastAsia" w:cstheme="minorEastAsia"/>
          <w:b/>
          <w:sz w:val="24"/>
          <w:szCs w:val="24"/>
          <w:highlight w:val="none"/>
          <w:u w:val="single"/>
        </w:rPr>
        <w:t xml:space="preserve">            </w:t>
      </w:r>
    </w:p>
    <w:p>
      <w:pPr>
        <w:rPr>
          <w:rFonts w:hint="eastAsia" w:asciiTheme="minorEastAsia" w:hAnsiTheme="minorEastAsia" w:eastAsiaTheme="minorEastAsia" w:cstheme="minorEastAsia"/>
          <w:b/>
          <w:sz w:val="24"/>
          <w:szCs w:val="24"/>
          <w:highlight w:val="none"/>
          <w:u w:val="single"/>
        </w:rPr>
      </w:pPr>
      <w:r>
        <w:rPr>
          <w:rFonts w:hint="eastAsia" w:asciiTheme="minorEastAsia" w:hAnsiTheme="minorEastAsia" w:eastAsiaTheme="minorEastAsia" w:cstheme="minorEastAsia"/>
          <w:b/>
          <w:sz w:val="24"/>
          <w:szCs w:val="24"/>
          <w:highlight w:val="none"/>
          <w:u w:val="single"/>
        </w:rPr>
        <w:br w:type="page"/>
      </w:r>
    </w:p>
    <w:p>
      <w:pPr>
        <w:keepNext w:val="0"/>
        <w:keepLines w:val="0"/>
        <w:pageBreakBefore w:val="0"/>
        <w:widowControl w:val="0"/>
        <w:tabs>
          <w:tab w:val="left" w:pos="900"/>
          <w:tab w:val="left" w:pos="5166"/>
        </w:tabs>
        <w:kinsoku/>
        <w:wordWrap/>
        <w:overflowPunct/>
        <w:topLinePunct w:val="0"/>
        <w:bidi w:val="0"/>
        <w:spacing w:line="360" w:lineRule="auto"/>
        <w:jc w:val="center"/>
        <w:rPr>
          <w:rFonts w:hint="eastAsia" w:asciiTheme="minorEastAsia" w:hAnsiTheme="minorEastAsia" w:eastAsiaTheme="minorEastAsia" w:cstheme="minorEastAsia"/>
          <w:b/>
          <w:sz w:val="30"/>
          <w:szCs w:val="30"/>
          <w:highlight w:val="none"/>
        </w:rPr>
      </w:pPr>
      <w:r>
        <w:rPr>
          <w:rFonts w:hint="eastAsia" w:asciiTheme="minorEastAsia" w:hAnsiTheme="minorEastAsia" w:eastAsiaTheme="minorEastAsia" w:cstheme="minorEastAsia"/>
          <w:b/>
          <w:sz w:val="30"/>
          <w:szCs w:val="30"/>
          <w:highlight w:val="none"/>
          <w:lang w:eastAsia="zh-CN"/>
        </w:rPr>
        <w:t>一</w:t>
      </w:r>
      <w:r>
        <w:rPr>
          <w:rFonts w:hint="eastAsia" w:asciiTheme="minorEastAsia" w:hAnsiTheme="minorEastAsia" w:eastAsiaTheme="minorEastAsia" w:cstheme="minorEastAsia"/>
          <w:b/>
          <w:sz w:val="30"/>
          <w:szCs w:val="30"/>
          <w:highlight w:val="none"/>
          <w:lang w:val="en-US" w:eastAsia="zh-CN"/>
        </w:rPr>
        <w:t xml:space="preserve"> -1、</w:t>
      </w:r>
      <w:r>
        <w:rPr>
          <w:rFonts w:hint="eastAsia" w:asciiTheme="minorEastAsia" w:hAnsiTheme="minorEastAsia" w:eastAsiaTheme="minorEastAsia" w:cstheme="minorEastAsia"/>
          <w:b/>
          <w:sz w:val="30"/>
          <w:szCs w:val="30"/>
          <w:highlight w:val="none"/>
        </w:rPr>
        <w:t>报价一览表（最终报价表）</w:t>
      </w:r>
    </w:p>
    <w:p>
      <w:pPr>
        <w:pStyle w:val="93"/>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b/>
          <w:sz w:val="24"/>
          <w:szCs w:val="24"/>
          <w:highlight w:val="none"/>
        </w:rPr>
      </w:pPr>
    </w:p>
    <w:p>
      <w:pPr>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 xml:space="preserve">名称: </w:t>
      </w:r>
      <w:r>
        <w:rPr>
          <w:rFonts w:hint="eastAsia" w:asciiTheme="minorEastAsia" w:hAnsiTheme="minorEastAsia" w:eastAsiaTheme="minorEastAsia" w:cstheme="minorEastAsia"/>
          <w:sz w:val="24"/>
          <w:szCs w:val="24"/>
          <w:highlight w:val="none"/>
          <w:u w:val="single"/>
        </w:rPr>
        <w:t>（全称并加盖公章）</w:t>
      </w:r>
      <w:r>
        <w:rPr>
          <w:rFonts w:hint="eastAsia" w:asciiTheme="minorEastAsia" w:hAnsiTheme="minorEastAsia" w:eastAsiaTheme="minorEastAsia" w:cstheme="minorEastAsia"/>
          <w:sz w:val="24"/>
          <w:szCs w:val="24"/>
          <w:highlight w:val="none"/>
        </w:rPr>
        <w:t xml:space="preserve">                         项目编号∶                                  货币单位：</w:t>
      </w:r>
    </w:p>
    <w:tbl>
      <w:tblPr>
        <w:tblStyle w:val="40"/>
        <w:tblW w:w="14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54"/>
        <w:gridCol w:w="1918"/>
        <w:gridCol w:w="719"/>
        <w:gridCol w:w="2583"/>
        <w:gridCol w:w="1050"/>
        <w:gridCol w:w="1365"/>
        <w:gridCol w:w="265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left="-107" w:leftChars="-51" w:right="-107" w:rightChars="-51"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合同包</w:t>
            </w:r>
          </w:p>
        </w:tc>
        <w:tc>
          <w:tcPr>
            <w:tcW w:w="1954"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货物名称规格</w:t>
            </w:r>
          </w:p>
        </w:tc>
        <w:tc>
          <w:tcPr>
            <w:tcW w:w="1918"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品牌/型号/产地</w:t>
            </w:r>
          </w:p>
        </w:tc>
        <w:tc>
          <w:tcPr>
            <w:tcW w:w="719"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数量</w:t>
            </w:r>
          </w:p>
        </w:tc>
        <w:tc>
          <w:tcPr>
            <w:tcW w:w="2583" w:type="dxa"/>
            <w:tcBorders>
              <w:top w:val="single" w:color="auto" w:sz="4" w:space="0"/>
              <w:left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投标单价</w:t>
            </w:r>
          </w:p>
        </w:tc>
        <w:tc>
          <w:tcPr>
            <w:tcW w:w="1050"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交货期</w:t>
            </w:r>
          </w:p>
        </w:tc>
        <w:tc>
          <w:tcPr>
            <w:tcW w:w="1365"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0" w:firstLineChars="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交货地点</w:t>
            </w:r>
          </w:p>
        </w:tc>
        <w:tc>
          <w:tcPr>
            <w:tcW w:w="2651"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left="-1" w:leftChars="-6" w:hanging="12" w:hangingChars="5"/>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付款方式</w:t>
            </w:r>
          </w:p>
        </w:tc>
        <w:tc>
          <w:tcPr>
            <w:tcW w:w="1013" w:type="dxa"/>
            <w:tcBorders>
              <w:top w:val="single" w:color="auto" w:sz="4" w:space="0"/>
              <w:left w:val="single" w:color="auto" w:sz="4" w:space="0"/>
              <w:bottom w:val="single" w:color="auto" w:sz="4" w:space="0"/>
              <w:right w:val="single" w:color="auto" w:sz="4" w:space="0"/>
            </w:tcBorders>
            <w:vAlign w:val="center"/>
          </w:tcPr>
          <w:p>
            <w:pPr>
              <w:pStyle w:val="221"/>
              <w:keepNext w:val="0"/>
              <w:keepLines w:val="0"/>
              <w:pageBreakBefore w:val="0"/>
              <w:widowControl w:val="0"/>
              <w:kinsoku/>
              <w:wordWrap/>
              <w:overflowPunct/>
              <w:topLinePunct w:val="0"/>
              <w:bidi w:val="0"/>
              <w:spacing w:line="360" w:lineRule="auto"/>
              <w:ind w:firstLine="118" w:firstLineChars="49"/>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9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26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47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该合同包投标总报价</w:t>
            </w:r>
          </w:p>
        </w:tc>
        <w:tc>
          <w:tcPr>
            <w:tcW w:w="938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大写： 人民币                                                 （￥   ）</w:t>
            </w:r>
          </w:p>
        </w:tc>
      </w:tr>
    </w:tbl>
    <w:p>
      <w:pPr>
        <w:keepNext w:val="0"/>
        <w:keepLines w:val="0"/>
        <w:pageBreakBefore w:val="0"/>
        <w:widowControl w:val="0"/>
        <w:tabs>
          <w:tab w:val="left" w:pos="13000"/>
        </w:tabs>
        <w:kinsoku/>
        <w:wordWrap/>
        <w:overflowPunct/>
        <w:topLinePunct w:val="0"/>
        <w:bidi w:val="0"/>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w:t>
      </w:r>
      <w:r>
        <w:rPr>
          <w:rFonts w:hint="eastAsia" w:asciiTheme="minorEastAsia" w:hAnsiTheme="minorEastAsia" w:eastAsiaTheme="minorEastAsia" w:cstheme="minorEastAsia"/>
          <w:b/>
          <w:sz w:val="24"/>
          <w:szCs w:val="24"/>
          <w:highlight w:val="none"/>
        </w:rPr>
        <w:t>1.此表正本单独的信封密封。报价文件正本中不需再提供。</w:t>
      </w:r>
    </w:p>
    <w:p>
      <w:pPr>
        <w:keepNext w:val="0"/>
        <w:keepLines w:val="0"/>
        <w:pageBreakBefore w:val="0"/>
        <w:widowControl w:val="0"/>
        <w:kinsoku/>
        <w:wordWrap/>
        <w:overflowPunct/>
        <w:topLinePunct w:val="0"/>
        <w:bidi w:val="0"/>
        <w:spacing w:line="360" w:lineRule="auto"/>
        <w:ind w:firstLine="787" w:firstLineChars="328"/>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2.当一个合同包有多个品目号时，</w:t>
      </w: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应计算出该合同包的合计价。</w:t>
      </w:r>
    </w:p>
    <w:p>
      <w:pPr>
        <w:keepNext w:val="0"/>
        <w:keepLines w:val="0"/>
        <w:pageBreakBefore w:val="0"/>
        <w:widowControl w:val="0"/>
        <w:tabs>
          <w:tab w:val="left" w:pos="7380"/>
        </w:tabs>
        <w:kinsoku/>
        <w:wordWrap/>
        <w:overflowPunct/>
        <w:topLinePunct w:val="0"/>
        <w:bidi w:val="0"/>
        <w:spacing w:line="360" w:lineRule="auto"/>
        <w:ind w:firstLine="737" w:firstLineChars="306"/>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3.该最终报价表只须盖章或签字，不须填写具体内容，待谈判结束后</w:t>
      </w:r>
      <w:r>
        <w:rPr>
          <w:rFonts w:hint="eastAsia" w:asciiTheme="minorEastAsia" w:hAnsiTheme="minorEastAsia" w:eastAsiaTheme="minorEastAsia" w:cstheme="minorEastAsia"/>
          <w:b/>
          <w:sz w:val="24"/>
          <w:szCs w:val="24"/>
          <w:highlight w:val="none"/>
          <w:lang w:eastAsia="zh-CN"/>
        </w:rPr>
        <w:t>投标人</w:t>
      </w:r>
      <w:r>
        <w:rPr>
          <w:rFonts w:hint="eastAsia" w:asciiTheme="minorEastAsia" w:hAnsiTheme="minorEastAsia" w:eastAsiaTheme="minorEastAsia" w:cstheme="minorEastAsia"/>
          <w:b/>
          <w:sz w:val="24"/>
          <w:szCs w:val="24"/>
          <w:highlight w:val="none"/>
        </w:rPr>
        <w:t>作最终报价及有关承诺。</w:t>
      </w:r>
    </w:p>
    <w:tbl>
      <w:tblPr>
        <w:tblStyle w:val="40"/>
        <w:tblW w:w="1404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13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43" w:hRule="atLeast"/>
          <w:jc w:val="center"/>
        </w:trPr>
        <w:tc>
          <w:tcPr>
            <w:tcW w:w="825" w:type="dxa"/>
            <w:vAlign w:val="center"/>
          </w:tcPr>
          <w:p>
            <w:pPr>
              <w:keepNext w:val="0"/>
              <w:keepLines w:val="0"/>
              <w:pageBreakBefore w:val="0"/>
              <w:widowControl w:val="0"/>
              <w:tabs>
                <w:tab w:val="left" w:pos="7380"/>
              </w:tabs>
              <w:kinsoku/>
              <w:wordWrap/>
              <w:overflowPunct/>
              <w:topLinePunct w:val="0"/>
              <w:bidi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相</w:t>
            </w:r>
          </w:p>
          <w:p>
            <w:pPr>
              <w:keepNext w:val="0"/>
              <w:keepLines w:val="0"/>
              <w:pageBreakBefore w:val="0"/>
              <w:widowControl w:val="0"/>
              <w:tabs>
                <w:tab w:val="left" w:pos="7380"/>
              </w:tabs>
              <w:kinsoku/>
              <w:wordWrap/>
              <w:overflowPunct/>
              <w:topLinePunct w:val="0"/>
              <w:bidi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关</w:t>
            </w:r>
          </w:p>
          <w:p>
            <w:pPr>
              <w:keepNext w:val="0"/>
              <w:keepLines w:val="0"/>
              <w:pageBreakBefore w:val="0"/>
              <w:widowControl w:val="0"/>
              <w:tabs>
                <w:tab w:val="left" w:pos="7380"/>
              </w:tabs>
              <w:kinsoku/>
              <w:wordWrap/>
              <w:overflowPunct/>
              <w:topLinePunct w:val="0"/>
              <w:bidi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承</w:t>
            </w:r>
          </w:p>
          <w:p>
            <w:pPr>
              <w:keepNext w:val="0"/>
              <w:keepLines w:val="0"/>
              <w:pageBreakBefore w:val="0"/>
              <w:widowControl w:val="0"/>
              <w:tabs>
                <w:tab w:val="left" w:pos="7380"/>
              </w:tabs>
              <w:kinsoku/>
              <w:wordWrap/>
              <w:overflowPunct/>
              <w:topLinePunct w:val="0"/>
              <w:bidi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诺</w:t>
            </w:r>
          </w:p>
        </w:tc>
        <w:tc>
          <w:tcPr>
            <w:tcW w:w="13216" w:type="dxa"/>
            <w:vAlign w:val="top"/>
          </w:tcPr>
          <w:p>
            <w:pPr>
              <w:keepNext w:val="0"/>
              <w:keepLines w:val="0"/>
              <w:pageBreakBefore w:val="0"/>
              <w:widowControl w:val="0"/>
              <w:tabs>
                <w:tab w:val="left" w:pos="7380"/>
              </w:tabs>
              <w:kinsoku/>
              <w:wordWrap/>
              <w:overflowPunct/>
              <w:topLinePunct w:val="0"/>
              <w:bidi w:val="0"/>
              <w:spacing w:line="360" w:lineRule="auto"/>
              <w:rPr>
                <w:rFonts w:hint="eastAsia" w:asciiTheme="minorEastAsia" w:hAnsiTheme="minorEastAsia" w:eastAsiaTheme="minorEastAsia" w:cstheme="minorEastAsia"/>
                <w:sz w:val="24"/>
                <w:szCs w:val="24"/>
                <w:highlight w:val="none"/>
              </w:rPr>
            </w:pPr>
          </w:p>
        </w:tc>
      </w:tr>
    </w:tbl>
    <w:p>
      <w:pPr>
        <w:keepNext w:val="0"/>
        <w:keepLines w:val="0"/>
        <w:pageBreakBefore w:val="0"/>
        <w:widowControl w:val="0"/>
        <w:kinsoku/>
        <w:wordWrap/>
        <w:overflowPunct/>
        <w:topLinePunct w:val="0"/>
        <w:bidi w:val="0"/>
        <w:spacing w:line="360" w:lineRule="auto"/>
        <w:ind w:firstLine="48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p>
    <w:p>
      <w:pPr>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sz w:val="24"/>
          <w:szCs w:val="24"/>
          <w:highlight w:val="none"/>
          <w:lang w:eastAsia="zh-CN"/>
        </w:rPr>
        <w:t>投标人</w:t>
      </w:r>
      <w:r>
        <w:rPr>
          <w:rFonts w:hint="eastAsia" w:asciiTheme="minorEastAsia" w:hAnsiTheme="minorEastAsia" w:eastAsiaTheme="minorEastAsia" w:cstheme="minorEastAsia"/>
          <w:sz w:val="24"/>
          <w:szCs w:val="24"/>
          <w:highlight w:val="none"/>
        </w:rPr>
        <w:t>代表签字</w:t>
      </w:r>
      <w:r>
        <w:rPr>
          <w:rFonts w:hint="eastAsia" w:asciiTheme="minorEastAsia" w:hAnsiTheme="minorEastAsia" w:eastAsiaTheme="minorEastAsia" w:cstheme="minorEastAsia"/>
          <w:sz w:val="24"/>
          <w:szCs w:val="24"/>
          <w:highlight w:val="none"/>
          <w:u w:val="single"/>
        </w:rPr>
        <w:t xml:space="preserve">：                    </w:t>
      </w:r>
    </w:p>
    <w:p>
      <w:pPr>
        <w:pStyle w:val="2"/>
        <w:rPr>
          <w:rFonts w:hint="eastAsia"/>
          <w:highlight w:val="none"/>
        </w:rPr>
        <w:sectPr>
          <w:type w:val="continuous"/>
          <w:pgSz w:w="16838" w:h="11905" w:orient="landscape"/>
          <w:pgMar w:top="1474" w:right="1417" w:bottom="1417" w:left="964" w:header="851" w:footer="992" w:gutter="0"/>
          <w:pgNumType w:fmt="decimal"/>
          <w:cols w:space="0" w:num="1"/>
          <w:rtlGutter w:val="0"/>
          <w:docGrid w:linePitch="312" w:charSpace="0"/>
        </w:sectPr>
      </w:pPr>
    </w:p>
    <w:p>
      <w:pPr>
        <w:pageBreakBefore w:val="0"/>
        <w:numPr>
          <w:ilvl w:val="0"/>
          <w:numId w:val="7"/>
        </w:numPr>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投标分项报价表</w:t>
      </w:r>
    </w:p>
    <w:p>
      <w:pPr>
        <w:keepNext w:val="0"/>
        <w:keepLines w:val="0"/>
        <w:pageBreakBefore w:val="0"/>
        <w:kinsoku/>
        <w:overflowPunct/>
        <w:autoSpaceDE/>
        <w:autoSpaceDN/>
        <w:bidi w:val="0"/>
        <w:spacing w:line="360" w:lineRule="auto"/>
        <w:ind w:firstLine="240" w:firstLineChars="1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                    招标编号：           货币单位：</w:t>
      </w:r>
      <w:r>
        <w:rPr>
          <w:rFonts w:hint="eastAsia" w:ascii="宋体" w:hAnsi="宋体" w:eastAsia="宋体" w:cs="宋体"/>
          <w:color w:val="000000"/>
          <w:sz w:val="24"/>
          <w:szCs w:val="24"/>
          <w:highlight w:val="none"/>
        </w:rPr>
        <w:t>人民币/元</w:t>
      </w:r>
      <w:r>
        <w:rPr>
          <w:rFonts w:hint="eastAsia" w:ascii="宋体" w:hAnsi="宋体" w:eastAsia="宋体" w:cs="宋体"/>
          <w:color w:val="auto"/>
          <w:sz w:val="24"/>
          <w:highlight w:val="none"/>
        </w:rPr>
        <w:t xml:space="preserve"> </w:t>
      </w:r>
    </w:p>
    <w:tbl>
      <w:tblPr>
        <w:tblStyle w:val="40"/>
        <w:tblW w:w="915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4"/>
        <w:gridCol w:w="3443"/>
        <w:gridCol w:w="1319"/>
        <w:gridCol w:w="1320"/>
        <w:gridCol w:w="131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投标货物合同包</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原产地</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数量、型号、规格</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主机和标准附件单价</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备品备件价</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专用工具价</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技术服务费</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安装调试费</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检验培训费</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运输费用</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保险费用</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3" w:hRule="atLeast"/>
        </w:trPr>
        <w:tc>
          <w:tcPr>
            <w:tcW w:w="434"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3443" w:type="dxa"/>
            <w:tcBorders>
              <w:top w:val="single" w:color="auto" w:sz="4" w:space="0"/>
              <w:left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出厂价投标价格</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3" w:hRule="atLeast"/>
        </w:trPr>
        <w:tc>
          <w:tcPr>
            <w:tcW w:w="434"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p>
        </w:tc>
        <w:tc>
          <w:tcPr>
            <w:tcW w:w="3443" w:type="dxa"/>
            <w:tcBorders>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现场供货投标价格</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3" w:hRule="atLeast"/>
        </w:trPr>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3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投标总价(大写)</w:t>
            </w:r>
          </w:p>
        </w:tc>
        <w:tc>
          <w:tcPr>
            <w:tcW w:w="527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p>
        </w:tc>
      </w:tr>
    </w:tbl>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★注意：</w:t>
      </w:r>
    </w:p>
    <w:p>
      <w:pPr>
        <w:keepNext w:val="0"/>
        <w:keepLines w:val="0"/>
        <w:pageBreakBefore w:val="0"/>
        <w:tabs>
          <w:tab w:val="left" w:pos="5355"/>
        </w:tabs>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1．第1栏投标货物合同包/品目号系指“招标货物一览表”中该货物的合同包/品目号。</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2．出厂价投标价格＝栏目5×栏目4(数量)＋栏目6至栏目10的各项费用。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3．现场供货投标价格＝栏目5×栏目4(数量)＋栏目6至栏目12的各项费用。</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4．选购件价不包括在本投标表内，应另附纸分项单报。</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5．此表第14项投标价若与开标一览表有出入，以开标一览表投标价格为准。</w:t>
      </w: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.此表投标总价若与开标一览表有出入，以开标一览表投标价格为准。</w:t>
      </w: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w:t>
      </w:r>
      <w:r>
        <w:rPr>
          <w:rFonts w:hint="eastAsia" w:ascii="宋体" w:hAnsi="宋体" w:eastAsia="宋体" w:cs="宋体"/>
          <w:color w:val="000000"/>
          <w:sz w:val="24"/>
          <w:szCs w:val="24"/>
          <w:highlight w:val="none"/>
          <w:u w:val="single"/>
        </w:rPr>
        <w:t>（全称并加盖单位公章）</w:t>
      </w:r>
    </w:p>
    <w:p>
      <w:pPr>
        <w:pStyle w:val="36"/>
        <w:pageBreakBefore w:val="0"/>
        <w:kinsoku/>
        <w:overflowPunct/>
        <w:topLinePunct w:val="0"/>
        <w:autoSpaceDE/>
        <w:autoSpaceDN/>
        <w:bidi w:val="0"/>
        <w:adjustRightInd/>
        <w:spacing w:before="0" w:beforeAutospacing="0" w:after="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投标人代表签字：</w:t>
      </w:r>
      <w:r>
        <w:rPr>
          <w:rFonts w:hint="eastAsia" w:ascii="宋体" w:hAnsi="宋体" w:eastAsia="宋体" w:cs="宋体"/>
          <w:color w:val="000000"/>
          <w:sz w:val="24"/>
          <w:szCs w:val="24"/>
          <w:highlight w:val="none"/>
          <w:u w:val="single"/>
        </w:rPr>
        <w:t>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日</w:t>
      </w: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br w:type="page"/>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三、招标文件规定的价格扣除证明材料（若有）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三-1优先类节能产品、环境标志产品价格扣除证明材料（若有）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三-1-①优先类节能产品、环境标志产品统计表（价格扣除适用，若有）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招标编号：</w:t>
      </w:r>
      <w:r>
        <w:rPr>
          <w:rFonts w:hint="eastAsia" w:asciiTheme="minorEastAsia" w:hAnsiTheme="minorEastAsia" w:eastAsiaTheme="minorEastAsia" w:cstheme="minorEastAsia"/>
          <w:kern w:val="0"/>
          <w:sz w:val="24"/>
          <w:szCs w:val="24"/>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货币及单位：人民币元</w:t>
      </w:r>
    </w:p>
    <w:tbl>
      <w:tblPr>
        <w:tblStyle w:val="40"/>
        <w:tblW w:w="9537"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4"/>
        <w:gridCol w:w="1217"/>
        <w:gridCol w:w="1336"/>
        <w:gridCol w:w="1440"/>
        <w:gridCol w:w="1208"/>
        <w:gridCol w:w="1327"/>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8278" w:type="dxa"/>
            <w:gridSpan w:val="6"/>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合同包</w:t>
            </w:r>
          </w:p>
        </w:tc>
        <w:tc>
          <w:tcPr>
            <w:tcW w:w="118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品目号</w:t>
            </w:r>
          </w:p>
        </w:tc>
        <w:tc>
          <w:tcPr>
            <w:tcW w:w="130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货物名称</w:t>
            </w:r>
          </w:p>
        </w:tc>
        <w:tc>
          <w:tcPr>
            <w:tcW w:w="141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单价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（现场）</w:t>
            </w:r>
          </w:p>
        </w:tc>
        <w:tc>
          <w:tcPr>
            <w:tcW w:w="1178"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数量</w:t>
            </w:r>
          </w:p>
        </w:tc>
        <w:tc>
          <w:tcPr>
            <w:tcW w:w="129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总价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（现场）</w:t>
            </w:r>
          </w:p>
        </w:tc>
        <w:tc>
          <w:tcPr>
            <w:tcW w:w="17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9" w:type="dxa"/>
            <w:vMerge w:val="restart"/>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w:t>
            </w:r>
          </w:p>
        </w:tc>
        <w:tc>
          <w:tcPr>
            <w:tcW w:w="118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w:t>
            </w:r>
          </w:p>
        </w:tc>
        <w:tc>
          <w:tcPr>
            <w:tcW w:w="130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41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178"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29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7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9" w:type="dxa"/>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18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w:t>
            </w:r>
          </w:p>
        </w:tc>
        <w:tc>
          <w:tcPr>
            <w:tcW w:w="130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41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178"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29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7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备注</w:t>
            </w:r>
          </w:p>
        </w:tc>
        <w:tc>
          <w:tcPr>
            <w:tcW w:w="8278" w:type="dxa"/>
            <w:gridSpan w:val="6"/>
            <w:tcMar>
              <w:top w:w="0" w:type="dxa"/>
              <w:left w:w="105" w:type="dxa"/>
              <w:bottom w:w="0" w:type="dxa"/>
              <w:right w:w="10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a.合同包内属于节能、环境标志产品的报价总金</w:t>
            </w:r>
            <w:r>
              <w:rPr>
                <w:rFonts w:hint="eastAsia" w:asciiTheme="minorEastAsia" w:hAnsiTheme="minorEastAsia" w:eastAsiaTheme="minorEastAsia" w:cstheme="minorEastAsia"/>
                <w:kern w:val="0"/>
                <w:sz w:val="24"/>
                <w:szCs w:val="24"/>
                <w:highlight w:val="none"/>
                <w:lang w:eastAsia="zh-CN"/>
              </w:rPr>
              <w:t>额：</w:t>
            </w:r>
            <w:r>
              <w:rPr>
                <w:rFonts w:hint="eastAsia" w:asciiTheme="minorEastAsia" w:hAnsiTheme="minorEastAsia" w:eastAsiaTheme="minorEastAsia" w:cstheme="minorEastAsia"/>
                <w:kern w:val="0"/>
                <w:sz w:val="24"/>
                <w:szCs w:val="24"/>
                <w:highlight w:val="none"/>
                <w:u w:val="single"/>
                <w:lang w:val="en-US" w:eastAsia="zh-CN"/>
              </w:rPr>
              <w:t xml:space="preserve">                  </w:t>
            </w:r>
            <w:r>
              <w:rPr>
                <w:rFonts w:hint="eastAsia" w:asciiTheme="minorEastAsia" w:hAnsiTheme="minorEastAsia" w:eastAsiaTheme="minorEastAsia" w:cstheme="minorEastAsia"/>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b.合同包投标总价（报价总金额）：</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c.“合同包内属于节能、环境标志产品的报价总金额”占“合同包投标总价（报价总金额）”的比例（以%列示）：</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w:t>
            </w:r>
          </w:p>
        </w:tc>
      </w:tr>
    </w:tbl>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1、对节能、环境标志产品计算价格扣除时，只依据投标文件</w:t>
      </w:r>
      <w:r>
        <w:rPr>
          <w:rFonts w:hint="eastAsia" w:asciiTheme="minorEastAsia" w:hAnsiTheme="minorEastAsia" w:eastAsiaTheme="minorEastAsia" w:cstheme="minorEastAsia"/>
          <w:b/>
          <w:bCs/>
          <w:kern w:val="0"/>
          <w:sz w:val="24"/>
          <w:szCs w:val="24"/>
          <w:highlight w:val="none"/>
        </w:rPr>
        <w:t>“三-1-②优先类节能产品、环境标志产品证明材料（价格扣除适用，若有）”。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2、本表以合同包为单位，不同合同包请分别填写；同一合同包请按照其品目号顺序分别填写。</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3、具体统计、计算：</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3.1若节能、环境标志产品仅是构成投标产品的部件、组件或零件，则该投标产品不享受鼓励优惠政策。同一品目中各认证证书不重复计算价格扣除。强制类节能产品不享受价格扣除。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3.2计算结果若除不尽，可四舍五入保留到小数点后两位。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3.3投标人应按照招标文件要求认真统计、计算，否则评标委员会不予认定。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3.4若无节能、环境标志产品，不填写本表，否则，</w:t>
      </w:r>
      <w:r>
        <w:rPr>
          <w:rFonts w:hint="eastAsia" w:asciiTheme="minorEastAsia" w:hAnsiTheme="minorEastAsia" w:eastAsiaTheme="minorEastAsia" w:cstheme="minorEastAsia"/>
          <w:b/>
          <w:bCs/>
          <w:kern w:val="0"/>
          <w:sz w:val="24"/>
          <w:szCs w:val="24"/>
          <w:highlight w:val="none"/>
        </w:rPr>
        <w:t>视为提供虚假材料。</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w:t>
      </w:r>
      <w:r>
        <w:rPr>
          <w:rFonts w:hint="eastAsia" w:asciiTheme="minorEastAsia" w:hAnsiTheme="minorEastAsia" w:eastAsiaTheme="minorEastAsia" w:cstheme="minorEastAsia"/>
          <w:kern w:val="0"/>
          <w:sz w:val="24"/>
          <w:szCs w:val="24"/>
          <w:highlight w:val="none"/>
          <w:u w:val="single"/>
        </w:rPr>
        <w:t>（全称并加盖单位公章）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投标人代表签字：</w:t>
      </w:r>
      <w:r>
        <w:rPr>
          <w:rFonts w:hint="eastAsia" w:asciiTheme="minorEastAsia" w:hAnsiTheme="minorEastAsia" w:eastAsiaTheme="minorEastAsia" w:cstheme="minorEastAsia"/>
          <w:kern w:val="0"/>
          <w:sz w:val="24"/>
          <w:szCs w:val="24"/>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日期：</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三-1-②优先类节能产品、环境标志产品证明材料（价格扣除适用，若有）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编制说明</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除招标文件另有规定外，投标人应按照招标文件规定提供相应证明材料。</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b/>
          <w:bCs/>
          <w:kern w:val="0"/>
          <w:sz w:val="24"/>
          <w:szCs w:val="24"/>
          <w:highlight w:val="none"/>
        </w:rPr>
        <w:br w:type="textWrapping"/>
      </w:r>
    </w:p>
    <w:p>
      <w:pPr>
        <w:pStyle w:val="2"/>
        <w:keepNext w:val="0"/>
        <w:keepLines w:val="0"/>
        <w:pageBreakBefore w:val="0"/>
        <w:kinsoku/>
        <w:wordWrap/>
        <w:overflowPunct/>
        <w:topLinePunct w:val="0"/>
        <w:autoSpaceDE/>
        <w:autoSpaceDN/>
        <w:bidi w:val="0"/>
        <w:adjustRightInd/>
        <w:snapToGrid/>
        <w:spacing w:beforeAutospacing="0" w:after="0" w:afterAutospacing="0" w:line="360" w:lineRule="auto"/>
        <w:ind w:firstLine="31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三-2小型、微型企业产品等价格扣除证明材料（若有）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三-2-①小型、微型企业产品等统计表（价格扣除适用，若有）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招标编号：</w:t>
      </w:r>
      <w:r>
        <w:rPr>
          <w:rFonts w:hint="eastAsia" w:asciiTheme="minorEastAsia" w:hAnsiTheme="minorEastAsia" w:eastAsiaTheme="minorEastAsia" w:cstheme="minorEastAsia"/>
          <w:kern w:val="0"/>
          <w:sz w:val="24"/>
          <w:szCs w:val="24"/>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货币及单位：人民币元</w:t>
      </w:r>
    </w:p>
    <w:tbl>
      <w:tblPr>
        <w:tblStyle w:val="40"/>
        <w:tblW w:w="8990"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9"/>
        <w:gridCol w:w="1205"/>
        <w:gridCol w:w="1070"/>
        <w:gridCol w:w="1196"/>
        <w:gridCol w:w="721"/>
        <w:gridCol w:w="1280"/>
        <w:gridCol w:w="1126"/>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7736" w:type="dxa"/>
            <w:gridSpan w:val="7"/>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合同包</w:t>
            </w:r>
          </w:p>
        </w:tc>
        <w:tc>
          <w:tcPr>
            <w:tcW w:w="117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品目号</w:t>
            </w:r>
          </w:p>
        </w:tc>
        <w:tc>
          <w:tcPr>
            <w:tcW w:w="104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采购标的</w:t>
            </w:r>
          </w:p>
        </w:tc>
        <w:tc>
          <w:tcPr>
            <w:tcW w:w="116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单价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（现场）</w:t>
            </w:r>
          </w:p>
        </w:tc>
        <w:tc>
          <w:tcPr>
            <w:tcW w:w="69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数量</w:t>
            </w:r>
          </w:p>
        </w:tc>
        <w:tc>
          <w:tcPr>
            <w:tcW w:w="12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总价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（现场）</w:t>
            </w:r>
          </w:p>
        </w:tc>
        <w:tc>
          <w:tcPr>
            <w:tcW w:w="109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制造厂商</w:t>
            </w:r>
          </w:p>
        </w:tc>
        <w:tc>
          <w:tcPr>
            <w:tcW w:w="1138"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4" w:type="dxa"/>
            <w:vMerge w:val="restart"/>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w:t>
            </w:r>
          </w:p>
        </w:tc>
        <w:tc>
          <w:tcPr>
            <w:tcW w:w="117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w:t>
            </w:r>
          </w:p>
        </w:tc>
        <w:tc>
          <w:tcPr>
            <w:tcW w:w="104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16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69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2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09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138"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4" w:type="dxa"/>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17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w:t>
            </w:r>
          </w:p>
        </w:tc>
        <w:tc>
          <w:tcPr>
            <w:tcW w:w="104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16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69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2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09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c>
          <w:tcPr>
            <w:tcW w:w="1138"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64"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备注</w:t>
            </w:r>
          </w:p>
        </w:tc>
        <w:tc>
          <w:tcPr>
            <w:tcW w:w="7736" w:type="dxa"/>
            <w:gridSpan w:val="7"/>
            <w:tcMar>
              <w:top w:w="0" w:type="dxa"/>
              <w:left w:w="105" w:type="dxa"/>
              <w:bottom w:w="0" w:type="dxa"/>
              <w:right w:w="105"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合同包内属于小型、微型企业产品等的报价总金额：</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w:t>
            </w:r>
          </w:p>
        </w:tc>
      </w:tr>
    </w:tbl>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1、对小型、微型企业产品等计算价格扣除时，只依据投标文件</w:t>
      </w:r>
      <w:r>
        <w:rPr>
          <w:rFonts w:hint="eastAsia" w:asciiTheme="minorEastAsia" w:hAnsiTheme="minorEastAsia" w:eastAsiaTheme="minorEastAsia" w:cstheme="minorEastAsia"/>
          <w:b/>
          <w:bCs/>
          <w:kern w:val="0"/>
          <w:sz w:val="24"/>
          <w:szCs w:val="24"/>
          <w:highlight w:val="none"/>
        </w:rPr>
        <w:t>“三-2-②中小企业声明函（价格扣除适用，若有）”及“三-2-③小型、微型企业等证明材料（价格扣除适用，若有）”。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2、本表以合同包为单位，不同合同包请分别填写；同一合同包请按照其品目号顺序分别填写。</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w:t>
      </w:r>
      <w:r>
        <w:rPr>
          <w:rFonts w:hint="eastAsia" w:asciiTheme="minorEastAsia" w:hAnsiTheme="minorEastAsia" w:eastAsiaTheme="minorEastAsia" w:cstheme="minorEastAsia"/>
          <w:b/>
          <w:bCs/>
          <w:kern w:val="0"/>
          <w:sz w:val="24"/>
          <w:szCs w:val="24"/>
          <w:highlight w:val="none"/>
        </w:rPr>
        <w:t>除本表第4条规定情形外，小型、微型企业（含监狱企业）承担的工程或提供的服务不享受价格扣除。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hint="eastAsia" w:asciiTheme="minorEastAsia" w:hAnsiTheme="minorEastAsia" w:eastAsiaTheme="minorEastAsia" w:cstheme="minorEastAsia"/>
          <w:b/>
          <w:bCs/>
          <w:kern w:val="0"/>
          <w:sz w:val="24"/>
          <w:szCs w:val="24"/>
          <w:highlight w:val="none"/>
        </w:rPr>
        <w:t>可享受价格扣除。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w:t>
      </w:r>
      <w:r>
        <w:rPr>
          <w:rFonts w:hint="eastAsia" w:asciiTheme="minorEastAsia" w:hAnsiTheme="minorEastAsia" w:eastAsiaTheme="minorEastAsia" w:cstheme="minorEastAsia"/>
          <w:kern w:val="0"/>
          <w:sz w:val="24"/>
          <w:szCs w:val="24"/>
          <w:highlight w:val="none"/>
          <w:u w:val="single"/>
        </w:rPr>
        <w:t>（全称并加盖单位公章）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投标人代表签字：</w:t>
      </w:r>
      <w:r>
        <w:rPr>
          <w:rFonts w:hint="eastAsia" w:asciiTheme="minorEastAsia" w:hAnsiTheme="minorEastAsia" w:eastAsiaTheme="minorEastAsia" w:cstheme="minorEastAsia"/>
          <w:kern w:val="0"/>
          <w:sz w:val="24"/>
          <w:szCs w:val="24"/>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日期：</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b/>
          <w:bCs/>
          <w:kern w:val="0"/>
          <w:sz w:val="24"/>
          <w:szCs w:val="24"/>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三-2-②中小企业声明函（价格扣除适用，若有）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本投标人郑重声明，根据《政府采购促进中小企业发展暂行办法》（财库[2011]181号）的规定，本投标人为</w:t>
      </w:r>
      <w:r>
        <w:rPr>
          <w:rFonts w:hint="eastAsia" w:asciiTheme="minorEastAsia" w:hAnsiTheme="minorEastAsia" w:eastAsiaTheme="minorEastAsia" w:cstheme="minorEastAsia"/>
          <w:kern w:val="0"/>
          <w:sz w:val="24"/>
          <w:szCs w:val="24"/>
          <w:highlight w:val="none"/>
          <w:u w:val="single"/>
        </w:rPr>
        <w:t>（填写“中型/小型/微型”）</w:t>
      </w:r>
      <w:r>
        <w:rPr>
          <w:rFonts w:hint="eastAsia" w:asciiTheme="minorEastAsia" w:hAnsiTheme="minorEastAsia" w:eastAsiaTheme="minorEastAsia" w:cstheme="minorEastAsia"/>
          <w:kern w:val="0"/>
          <w:sz w:val="24"/>
          <w:szCs w:val="24"/>
          <w:highlight w:val="none"/>
        </w:rPr>
        <w:t>企业。即本投标人同时满足以下条件：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1、根据《工业和信息化部、国家统计局、国家发展和改革委员会、财政部关于印发中小企业划型标准规定的通知》（工信部联企业[2011]300号）规定的划分标准，本投标人为</w:t>
      </w:r>
      <w:r>
        <w:rPr>
          <w:rFonts w:hint="eastAsia" w:asciiTheme="minorEastAsia" w:hAnsiTheme="minorEastAsia" w:eastAsiaTheme="minorEastAsia" w:cstheme="minorEastAsia"/>
          <w:kern w:val="0"/>
          <w:sz w:val="24"/>
          <w:szCs w:val="24"/>
          <w:highlight w:val="none"/>
          <w:u w:val="single"/>
        </w:rPr>
        <w:t>  （填写“中型/小型/微型”）</w:t>
      </w:r>
      <w:r>
        <w:rPr>
          <w:rFonts w:hint="eastAsia" w:asciiTheme="minorEastAsia" w:hAnsiTheme="minorEastAsia" w:eastAsiaTheme="minorEastAsia" w:cstheme="minorEastAsia"/>
          <w:kern w:val="0"/>
          <w:sz w:val="24"/>
          <w:szCs w:val="24"/>
          <w:highlight w:val="none"/>
        </w:rPr>
        <w:t>企业。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2、本投标人参加贵单位组织的</w:t>
      </w:r>
      <w:r>
        <w:rPr>
          <w:rFonts w:hint="eastAsia" w:asciiTheme="minorEastAsia" w:hAnsiTheme="minorEastAsia" w:eastAsiaTheme="minorEastAsia" w:cstheme="minorEastAsia"/>
          <w:kern w:val="0"/>
          <w:sz w:val="24"/>
          <w:szCs w:val="24"/>
          <w:highlight w:val="none"/>
          <w:u w:val="single"/>
        </w:rPr>
        <w:t xml:space="preserve"> （填写“项目名称”） </w:t>
      </w:r>
      <w:r>
        <w:rPr>
          <w:rFonts w:hint="eastAsia" w:asciiTheme="minorEastAsia" w:hAnsiTheme="minorEastAsia" w:eastAsiaTheme="minorEastAsia" w:cstheme="minorEastAsia"/>
          <w:kern w:val="0"/>
          <w:sz w:val="24"/>
          <w:szCs w:val="24"/>
          <w:highlight w:val="none"/>
        </w:rPr>
        <w:t>项目采购活动，其中：</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①货物（不包括使用大型企业注册商标的货物）：</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）提供本投标人制造的</w:t>
      </w:r>
      <w:r>
        <w:rPr>
          <w:rFonts w:hint="eastAsia" w:asciiTheme="minorEastAsia" w:hAnsiTheme="minorEastAsia" w:eastAsiaTheme="minorEastAsia" w:cstheme="minorEastAsia"/>
          <w:kern w:val="0"/>
          <w:sz w:val="24"/>
          <w:szCs w:val="24"/>
          <w:highlight w:val="none"/>
          <w:u w:val="single"/>
        </w:rPr>
        <w:t>（填写“所投合同包、品目号”）</w:t>
      </w:r>
      <w:r>
        <w:rPr>
          <w:rFonts w:hint="eastAsia" w:asciiTheme="minorEastAsia" w:hAnsiTheme="minorEastAsia" w:eastAsiaTheme="minorEastAsia" w:cstheme="minorEastAsia"/>
          <w:kern w:val="0"/>
          <w:sz w:val="24"/>
          <w:szCs w:val="24"/>
          <w:highlight w:val="none"/>
        </w:rPr>
        <w:t>货物；或</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）提供其他</w:t>
      </w:r>
      <w:r>
        <w:rPr>
          <w:rFonts w:hint="eastAsia" w:asciiTheme="minorEastAsia" w:hAnsiTheme="minorEastAsia" w:eastAsiaTheme="minorEastAsia" w:cstheme="minorEastAsia"/>
          <w:kern w:val="0"/>
          <w:sz w:val="24"/>
          <w:szCs w:val="24"/>
          <w:highlight w:val="none"/>
          <w:u w:val="single"/>
        </w:rPr>
        <w:t>（填写“中型/小型/微型”）</w:t>
      </w:r>
      <w:r>
        <w:rPr>
          <w:rFonts w:hint="eastAsia" w:asciiTheme="minorEastAsia" w:hAnsiTheme="minorEastAsia" w:eastAsiaTheme="minorEastAsia" w:cstheme="minorEastAsia"/>
          <w:kern w:val="0"/>
          <w:sz w:val="24"/>
          <w:szCs w:val="24"/>
          <w:highlight w:val="none"/>
        </w:rPr>
        <w:t>企业制造的</w:t>
      </w:r>
      <w:r>
        <w:rPr>
          <w:rFonts w:hint="eastAsia" w:asciiTheme="minorEastAsia" w:hAnsiTheme="minorEastAsia" w:eastAsiaTheme="minorEastAsia" w:cstheme="minorEastAsia"/>
          <w:kern w:val="0"/>
          <w:sz w:val="24"/>
          <w:szCs w:val="24"/>
          <w:highlight w:val="none"/>
          <w:u w:val="single"/>
        </w:rPr>
        <w:t>（填写“所投合同包、品目号”）</w:t>
      </w:r>
      <w:r>
        <w:rPr>
          <w:rFonts w:hint="eastAsia" w:asciiTheme="minorEastAsia" w:hAnsiTheme="minorEastAsia" w:eastAsiaTheme="minorEastAsia" w:cstheme="minorEastAsia"/>
          <w:kern w:val="0"/>
          <w:sz w:val="24"/>
          <w:szCs w:val="24"/>
          <w:highlight w:val="none"/>
        </w:rPr>
        <w:t>货物。</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②工程：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）由本投标人承担的</w:t>
      </w:r>
      <w:r>
        <w:rPr>
          <w:rFonts w:hint="eastAsia" w:asciiTheme="minorEastAsia" w:hAnsiTheme="minorEastAsia" w:eastAsiaTheme="minorEastAsia" w:cstheme="minorEastAsia"/>
          <w:kern w:val="0"/>
          <w:sz w:val="24"/>
          <w:szCs w:val="24"/>
          <w:highlight w:val="none"/>
          <w:u w:val="single"/>
        </w:rPr>
        <w:t>（填写“所投合同包、品目号”）</w:t>
      </w:r>
      <w:r>
        <w:rPr>
          <w:rFonts w:hint="eastAsia" w:asciiTheme="minorEastAsia" w:hAnsiTheme="minorEastAsia" w:eastAsiaTheme="minorEastAsia" w:cstheme="minorEastAsia"/>
          <w:kern w:val="0"/>
          <w:sz w:val="24"/>
          <w:szCs w:val="24"/>
          <w:highlight w:val="none"/>
        </w:rPr>
        <w:t>工程。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③服务：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）由本投标人提供的</w:t>
      </w:r>
      <w:r>
        <w:rPr>
          <w:rFonts w:hint="eastAsia" w:asciiTheme="minorEastAsia" w:hAnsiTheme="minorEastAsia" w:eastAsiaTheme="minorEastAsia" w:cstheme="minorEastAsia"/>
          <w:kern w:val="0"/>
          <w:sz w:val="24"/>
          <w:szCs w:val="24"/>
          <w:highlight w:val="none"/>
          <w:u w:val="single"/>
        </w:rPr>
        <w:t>（填写“所投合同包、品目号”）</w:t>
      </w:r>
      <w:r>
        <w:rPr>
          <w:rFonts w:hint="eastAsia" w:asciiTheme="minorEastAsia" w:hAnsiTheme="minorEastAsia" w:eastAsiaTheme="minorEastAsia" w:cstheme="minorEastAsia"/>
          <w:kern w:val="0"/>
          <w:sz w:val="24"/>
          <w:szCs w:val="24"/>
          <w:highlight w:val="none"/>
        </w:rPr>
        <w:t>服务。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本投标人对上述声明的真实性负责。如有虚假，将依法承担相应责任。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1、请投标人按照实际情况编制填写本声明函，并在相应的（）中打“√”。</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3、若《中小企业声明函》内容不真实，</w:t>
      </w:r>
      <w:r>
        <w:rPr>
          <w:rFonts w:hint="eastAsia" w:asciiTheme="minorEastAsia" w:hAnsiTheme="minorEastAsia" w:eastAsiaTheme="minorEastAsia" w:cstheme="minorEastAsia"/>
          <w:b/>
          <w:bCs/>
          <w:kern w:val="0"/>
          <w:sz w:val="24"/>
          <w:szCs w:val="24"/>
          <w:highlight w:val="none"/>
        </w:rPr>
        <w:t>视为提供虚假材料</w:t>
      </w:r>
      <w:r>
        <w:rPr>
          <w:rFonts w:hint="eastAsia" w:asciiTheme="minorEastAsia" w:hAnsiTheme="minorEastAsia" w:eastAsiaTheme="minorEastAsia" w:cstheme="minorEastAsia"/>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4、投标人为监狱企业的，可不填写本声明函。</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5、投标人为残疾人福利性单位的，可不填写本声明函。</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w:t>
      </w:r>
      <w:r>
        <w:rPr>
          <w:rFonts w:hint="eastAsia" w:asciiTheme="minorEastAsia" w:hAnsiTheme="minorEastAsia" w:eastAsiaTheme="minorEastAsia" w:cstheme="minorEastAsia"/>
          <w:kern w:val="0"/>
          <w:sz w:val="24"/>
          <w:szCs w:val="24"/>
          <w:highlight w:val="none"/>
          <w:u w:val="single"/>
        </w:rPr>
        <w:t>（全称并加盖单位公章）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投标人代表签字：</w:t>
      </w:r>
      <w:r>
        <w:rPr>
          <w:rFonts w:hint="eastAsia" w:asciiTheme="minorEastAsia" w:hAnsiTheme="minorEastAsia" w:eastAsiaTheme="minorEastAsia" w:cstheme="minorEastAsia"/>
          <w:kern w:val="0"/>
          <w:sz w:val="24"/>
          <w:szCs w:val="24"/>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日期：</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三-2-③小型、微型企业等证明材料（价格扣除适用，若有）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编制说明</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1、投标人应按照招标文件要求提供相应证明材料，证明材料应与《中小企业声明函》的内容相一致，否则视为《中小企业声明函》内容不真实。</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2、投标人为监狱企业的，根据其提供的由省级以上监狱管理局、戒毒管理局（含新疆生产建设兵团）出具的属于监狱企业的证明文件进行认定，监狱企业视同小型、微型企业。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br w:type="textWrapping"/>
      </w:r>
    </w:p>
    <w:p>
      <w:pPr>
        <w:pStyle w:val="2"/>
        <w:keepNext w:val="0"/>
        <w:keepLines w:val="0"/>
        <w:pageBreakBefore w:val="0"/>
        <w:kinsoku/>
        <w:wordWrap/>
        <w:overflowPunct/>
        <w:topLinePunct w:val="0"/>
        <w:autoSpaceDE/>
        <w:autoSpaceDN/>
        <w:bidi w:val="0"/>
        <w:adjustRightInd/>
        <w:snapToGrid/>
        <w:spacing w:beforeAutospacing="0" w:after="0" w:afterAutospacing="0" w:line="360" w:lineRule="auto"/>
        <w:ind w:firstLine="31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附：</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残疾人福利性单位声明函（价格扣除适用，若有）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Theme="minorEastAsia" w:hAnsiTheme="minorEastAsia" w:eastAsiaTheme="minorEastAsia" w:cstheme="minorEastAsia"/>
          <w:kern w:val="0"/>
          <w:sz w:val="24"/>
          <w:szCs w:val="24"/>
          <w:highlight w:val="none"/>
          <w:u w:val="single"/>
        </w:rPr>
        <w:t>（填写“项目名称”）</w:t>
      </w:r>
      <w:r>
        <w:rPr>
          <w:rFonts w:hint="eastAsia" w:asciiTheme="minorEastAsia" w:hAnsiTheme="minorEastAsia" w:eastAsiaTheme="minorEastAsia" w:cstheme="minorEastAsia"/>
          <w:kern w:val="0"/>
          <w:sz w:val="24"/>
          <w:szCs w:val="24"/>
          <w:highlight w:val="none"/>
        </w:rPr>
        <w:t>项目采购活动：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）提供本投标人制造的</w:t>
      </w:r>
      <w:r>
        <w:rPr>
          <w:rFonts w:hint="eastAsia" w:asciiTheme="minorEastAsia" w:hAnsiTheme="minorEastAsia" w:eastAsiaTheme="minorEastAsia" w:cstheme="minorEastAsia"/>
          <w:kern w:val="0"/>
          <w:sz w:val="24"/>
          <w:szCs w:val="24"/>
          <w:highlight w:val="none"/>
          <w:u w:val="single"/>
        </w:rPr>
        <w:t>（填写“所投合同包、品目号”）</w:t>
      </w:r>
      <w:r>
        <w:rPr>
          <w:rFonts w:hint="eastAsia" w:asciiTheme="minorEastAsia" w:hAnsiTheme="minorEastAsia" w:eastAsiaTheme="minorEastAsia" w:cstheme="minorEastAsia"/>
          <w:kern w:val="0"/>
          <w:sz w:val="24"/>
          <w:szCs w:val="24"/>
          <w:highlight w:val="none"/>
        </w:rPr>
        <w:t>货物，</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）由本投标人承担的</w:t>
      </w:r>
      <w:r>
        <w:rPr>
          <w:rFonts w:hint="eastAsia" w:asciiTheme="minorEastAsia" w:hAnsiTheme="minorEastAsia" w:eastAsiaTheme="minorEastAsia" w:cstheme="minorEastAsia"/>
          <w:kern w:val="0"/>
          <w:sz w:val="24"/>
          <w:szCs w:val="24"/>
          <w:highlight w:val="none"/>
          <w:u w:val="single"/>
        </w:rPr>
        <w:t>（填写“所投合同包、品目号”）</w:t>
      </w:r>
      <w:r>
        <w:rPr>
          <w:rFonts w:hint="eastAsia" w:asciiTheme="minorEastAsia" w:hAnsiTheme="minorEastAsia" w:eastAsiaTheme="minorEastAsia" w:cstheme="minorEastAsia"/>
          <w:kern w:val="0"/>
          <w:sz w:val="24"/>
          <w:szCs w:val="24"/>
          <w:highlight w:val="none"/>
        </w:rPr>
        <w:t>工程，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）由本投标人提供的</w:t>
      </w:r>
      <w:r>
        <w:rPr>
          <w:rFonts w:hint="eastAsia" w:asciiTheme="minorEastAsia" w:hAnsiTheme="minorEastAsia" w:eastAsiaTheme="minorEastAsia" w:cstheme="minorEastAsia"/>
          <w:kern w:val="0"/>
          <w:sz w:val="24"/>
          <w:szCs w:val="24"/>
          <w:highlight w:val="none"/>
          <w:u w:val="single"/>
        </w:rPr>
        <w:t>（填写“所投合同包、品目号”）</w:t>
      </w:r>
      <w:r>
        <w:rPr>
          <w:rFonts w:hint="eastAsia" w:asciiTheme="minorEastAsia" w:hAnsiTheme="minorEastAsia" w:eastAsiaTheme="minorEastAsia" w:cstheme="minorEastAsia"/>
          <w:kern w:val="0"/>
          <w:sz w:val="24"/>
          <w:szCs w:val="24"/>
          <w:highlight w:val="none"/>
        </w:rPr>
        <w:t>服务；或</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）提供其他残疾人福利性单位制造的</w:t>
      </w:r>
      <w:r>
        <w:rPr>
          <w:rFonts w:hint="eastAsia" w:asciiTheme="minorEastAsia" w:hAnsiTheme="minorEastAsia" w:eastAsiaTheme="minorEastAsia" w:cstheme="minorEastAsia"/>
          <w:kern w:val="0"/>
          <w:sz w:val="24"/>
          <w:szCs w:val="24"/>
          <w:highlight w:val="none"/>
          <w:u w:val="single"/>
        </w:rPr>
        <w:t>（填写“所投合同包、品目号”）</w:t>
      </w:r>
      <w:r>
        <w:rPr>
          <w:rFonts w:hint="eastAsia" w:asciiTheme="minorEastAsia" w:hAnsiTheme="minorEastAsia" w:eastAsiaTheme="minorEastAsia" w:cstheme="minorEastAsia"/>
          <w:kern w:val="0"/>
          <w:sz w:val="24"/>
          <w:szCs w:val="24"/>
          <w:highlight w:val="none"/>
        </w:rPr>
        <w:t>货物（不包括使用非残疾人福利性单位注册商标的货物）。</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本投标人对上述声明的真实性负责。如有虚假，将依法承担相应责任。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★注意：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1、请投标人按照实际情况编制填写本声明函，并在相应的（）中打“√”。</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、若《残疾人福利性单位声明函》内容不真实，</w:t>
      </w:r>
      <w:r>
        <w:rPr>
          <w:rFonts w:hint="eastAsia" w:asciiTheme="minorEastAsia" w:hAnsiTheme="minorEastAsia" w:eastAsiaTheme="minorEastAsia" w:cstheme="minorEastAsia"/>
          <w:b/>
          <w:bCs/>
          <w:kern w:val="0"/>
          <w:sz w:val="24"/>
          <w:szCs w:val="24"/>
          <w:highlight w:val="none"/>
        </w:rPr>
        <w:t>视为提供虚假材料</w:t>
      </w:r>
      <w:r>
        <w:rPr>
          <w:rFonts w:hint="eastAsia" w:asciiTheme="minorEastAsia" w:hAnsiTheme="minorEastAsia" w:eastAsiaTheme="minorEastAsia" w:cstheme="minorEastAsia"/>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rPr>
        <w:t>、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hint="eastAsia" w:asciiTheme="minorEastAsia" w:hAnsiTheme="minorEastAsia" w:eastAsiaTheme="minorEastAsia" w:cstheme="minorEastAsia"/>
          <w:b/>
          <w:bCs/>
          <w:kern w:val="0"/>
          <w:sz w:val="24"/>
          <w:szCs w:val="24"/>
          <w:highlight w:val="none"/>
        </w:rPr>
        <w:t>可享受价格扣除。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w:t>
      </w:r>
      <w:r>
        <w:rPr>
          <w:rFonts w:hint="eastAsia" w:asciiTheme="minorEastAsia" w:hAnsiTheme="minorEastAsia" w:eastAsiaTheme="minorEastAsia" w:cstheme="minorEastAsia"/>
          <w:kern w:val="0"/>
          <w:sz w:val="24"/>
          <w:szCs w:val="24"/>
          <w:highlight w:val="none"/>
          <w:u w:val="single"/>
        </w:rPr>
        <w:t>（全称并加盖单位公章）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投标人代表签字：</w:t>
      </w:r>
      <w:r>
        <w:rPr>
          <w:rFonts w:hint="eastAsia" w:asciiTheme="minorEastAsia" w:hAnsiTheme="minorEastAsia" w:eastAsiaTheme="minorEastAsia" w:cstheme="minorEastAsia"/>
          <w:kern w:val="0"/>
          <w:sz w:val="24"/>
          <w:szCs w:val="24"/>
          <w:highlight w:val="none"/>
          <w:u w:val="singl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日期：</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年</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月</w:t>
      </w:r>
      <w:r>
        <w:rPr>
          <w:rFonts w:hint="eastAsia" w:asciiTheme="minorEastAsia" w:hAnsiTheme="minorEastAsia" w:eastAsiaTheme="minorEastAsia" w:cstheme="minorEastAsia"/>
          <w:kern w:val="0"/>
          <w:sz w:val="24"/>
          <w:szCs w:val="24"/>
          <w:highlight w:val="none"/>
          <w:u w:val="single"/>
        </w:rPr>
        <w:t>   </w:t>
      </w:r>
      <w:r>
        <w:rPr>
          <w:rFonts w:hint="eastAsia" w:asciiTheme="minorEastAsia" w:hAnsiTheme="minorEastAsia" w:eastAsiaTheme="minorEastAsia" w:cstheme="minorEastAsia"/>
          <w:kern w:val="0"/>
          <w:sz w:val="24"/>
          <w:szCs w:val="24"/>
          <w:highlight w:val="none"/>
        </w:rPr>
        <w:t>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kern w:val="0"/>
          <w:sz w:val="24"/>
          <w:szCs w:val="24"/>
          <w:highlight w:val="none"/>
        </w:rPr>
        <w:br w:type="textWrapping"/>
      </w:r>
    </w:p>
    <w:p>
      <w:pPr>
        <w:pStyle w:val="2"/>
        <w:keepNext w:val="0"/>
        <w:keepLines w:val="0"/>
        <w:pageBreakBefore w:val="0"/>
        <w:kinsoku/>
        <w:wordWrap/>
        <w:overflowPunct/>
        <w:topLinePunct w:val="0"/>
        <w:autoSpaceDE/>
        <w:autoSpaceDN/>
        <w:bidi w:val="0"/>
        <w:adjustRightInd/>
        <w:snapToGrid/>
        <w:spacing w:beforeAutospacing="0" w:after="0" w:afterAutospacing="0" w:line="360" w:lineRule="auto"/>
        <w:ind w:firstLine="31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三-3招标文件规定的价格扣除证明材料（若有）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编制说明</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若投标人可享受招标文件规定的除</w:t>
      </w:r>
      <w:r>
        <w:rPr>
          <w:rFonts w:hint="eastAsia" w:asciiTheme="minorEastAsia" w:hAnsiTheme="minorEastAsia" w:eastAsiaTheme="minorEastAsia" w:cstheme="minorEastAsia"/>
          <w:b/>
          <w:bCs/>
          <w:kern w:val="0"/>
          <w:sz w:val="24"/>
          <w:szCs w:val="24"/>
          <w:highlight w:val="none"/>
        </w:rPr>
        <w:t>“节能（非强制类）、环境标志产品价格扣除”及“小型、微型企业产品等价格扣除”</w:t>
      </w:r>
      <w:r>
        <w:rPr>
          <w:rFonts w:hint="eastAsia" w:asciiTheme="minorEastAsia" w:hAnsiTheme="minorEastAsia" w:eastAsiaTheme="minorEastAsia" w:cstheme="minorEastAsia"/>
          <w:kern w:val="0"/>
          <w:sz w:val="24"/>
          <w:szCs w:val="24"/>
          <w:highlight w:val="none"/>
        </w:rPr>
        <w:t>外的其他价格扣除优惠，则投标人应按照招标文件要求提供相应证明材料。</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br w:type="page"/>
      </w:r>
      <w:r>
        <w:rPr>
          <w:rFonts w:hint="eastAsia" w:ascii="宋体" w:hAnsi="宋体" w:eastAsia="宋体" w:cs="宋体"/>
          <w:color w:val="000000"/>
          <w:sz w:val="24"/>
          <w:szCs w:val="24"/>
          <w:highlight w:val="none"/>
          <w:shd w:val="clear" w:color="auto" w:fill="FFFFFF"/>
        </w:rPr>
        <w:t> </w:t>
      </w:r>
    </w:p>
    <w:p>
      <w:pPr>
        <w:pStyle w:val="36"/>
        <w:pageBreakBefore w:val="0"/>
        <w:widowControl/>
        <w:kinsoku/>
        <w:overflowPunct/>
        <w:topLinePunct w:val="0"/>
        <w:autoSpaceDE/>
        <w:autoSpaceDN/>
        <w:bidi w:val="0"/>
        <w:adjustRightInd/>
        <w:spacing w:before="0" w:beforeLines="0" w:beforeAutospacing="0" w:after="0" w:afterLines="0" w:afterAutospacing="0" w:line="360" w:lineRule="auto"/>
        <w:ind w:left="-288" w:right="-288"/>
        <w:jc w:val="center"/>
        <w:textAlignment w:val="auto"/>
        <w:outlineLvl w:val="9"/>
        <w:rPr>
          <w:rFonts w:hint="eastAsia" w:ascii="宋体" w:hAnsi="宋体" w:eastAsia="宋体" w:cs="宋体"/>
          <w:color w:val="000000"/>
          <w:sz w:val="44"/>
          <w:szCs w:val="44"/>
          <w:highlight w:val="none"/>
        </w:rPr>
      </w:pPr>
      <w:r>
        <w:rPr>
          <w:rStyle w:val="43"/>
          <w:rFonts w:hint="eastAsia" w:ascii="宋体" w:hAnsi="宋体" w:eastAsia="宋体" w:cs="宋体"/>
          <w:color w:val="000000"/>
          <w:sz w:val="44"/>
          <w:szCs w:val="44"/>
          <w:highlight w:val="none"/>
          <w:shd w:val="clear" w:color="auto" w:fill="FFFFFF"/>
        </w:rPr>
        <w:t>封面格式</w:t>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72"/>
          <w:szCs w:val="72"/>
          <w:highlight w:val="none"/>
        </w:rPr>
      </w:pPr>
      <w:r>
        <w:rPr>
          <w:rFonts w:hint="eastAsia" w:ascii="宋体" w:hAnsi="宋体" w:eastAsia="宋体" w:cs="宋体"/>
          <w:b/>
          <w:color w:val="000000"/>
          <w:sz w:val="72"/>
          <w:szCs w:val="72"/>
          <w:highlight w:val="none"/>
        </w:rPr>
        <w:t>投  标  文  件</w:t>
      </w:r>
    </w:p>
    <w:p>
      <w:pPr>
        <w:pageBreakBefore w:val="0"/>
        <w:kinsoku/>
        <w:overflowPunct/>
        <w:topLinePunct w:val="0"/>
        <w:autoSpaceDE/>
        <w:autoSpaceDN/>
        <w:bidi w:val="0"/>
        <w:adjustRightInd/>
        <w:spacing w:beforeAutospacing="0" w:afterAutospacing="0" w:line="360" w:lineRule="auto"/>
        <w:jc w:val="center"/>
        <w:textAlignment w:val="auto"/>
        <w:outlineLvl w:val="1"/>
        <w:rPr>
          <w:rFonts w:hint="eastAsia" w:ascii="宋体" w:hAnsi="宋体" w:eastAsia="宋体" w:cs="宋体"/>
          <w:b/>
          <w:color w:val="000000"/>
          <w:sz w:val="72"/>
          <w:szCs w:val="72"/>
          <w:highlight w:val="none"/>
        </w:rPr>
      </w:pPr>
      <w:bookmarkStart w:id="177" w:name="_Toc9391"/>
      <w:r>
        <w:rPr>
          <w:rFonts w:hint="eastAsia" w:ascii="宋体" w:hAnsi="宋体" w:eastAsia="宋体" w:cs="宋体"/>
          <w:b/>
          <w:color w:val="000000"/>
          <w:sz w:val="72"/>
          <w:szCs w:val="72"/>
          <w:highlight w:val="none"/>
        </w:rPr>
        <w:t>（技术商务部分）</w:t>
      </w:r>
      <w:bookmarkEnd w:id="177"/>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904" w:firstLineChars="300"/>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项 目 名 称：</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ind w:firstLine="904" w:firstLineChars="300"/>
        <w:textAlignment w:val="auto"/>
        <w:outlineLvl w:val="9"/>
        <w:rPr>
          <w:rFonts w:hint="eastAsia" w:ascii="宋体" w:hAnsi="宋体" w:eastAsia="宋体" w:cs="宋体"/>
          <w:b/>
          <w:color w:val="000000"/>
          <w:sz w:val="30"/>
          <w:szCs w:val="30"/>
          <w:highlight w:val="none"/>
          <w:u w:val="single"/>
        </w:rPr>
      </w:pPr>
      <w:r>
        <w:rPr>
          <w:rFonts w:hint="eastAsia" w:ascii="宋体" w:hAnsi="宋体" w:eastAsia="宋体" w:cs="宋体"/>
          <w:b/>
          <w:color w:val="000000"/>
          <w:sz w:val="30"/>
          <w:szCs w:val="30"/>
          <w:highlight w:val="none"/>
        </w:rPr>
        <w:t>招 标 编 号：</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ind w:firstLine="888" w:firstLineChars="295"/>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所投合同包：</w:t>
      </w:r>
      <w:r>
        <w:rPr>
          <w:rFonts w:hint="eastAsia" w:ascii="宋体" w:hAnsi="宋体" w:eastAsia="宋体" w:cs="宋体"/>
          <w:b/>
          <w:color w:val="000000"/>
          <w:sz w:val="30"/>
          <w:szCs w:val="30"/>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u w:val="single"/>
        </w:rPr>
      </w:pPr>
      <w:r>
        <w:rPr>
          <w:rFonts w:hint="eastAsia" w:ascii="宋体" w:hAnsi="宋体" w:eastAsia="宋体" w:cs="宋体"/>
          <w:b/>
          <w:color w:val="000000"/>
          <w:sz w:val="30"/>
          <w:szCs w:val="30"/>
          <w:highlight w:val="none"/>
        </w:rPr>
        <w:t xml:space="preserve">     投标人名称：</w:t>
      </w:r>
      <w:r>
        <w:rPr>
          <w:rFonts w:hint="eastAsia" w:ascii="宋体" w:hAnsi="宋体" w:eastAsia="宋体" w:cs="宋体"/>
          <w:b/>
          <w:color w:val="000000"/>
          <w:sz w:val="30"/>
          <w:szCs w:val="30"/>
          <w:highlight w:val="none"/>
          <w:u w:val="single"/>
        </w:rPr>
        <w:t xml:space="preserve"> （全称并加盖公章）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 xml:space="preserve">     日      期 ：</w:t>
      </w:r>
      <w:r>
        <w:rPr>
          <w:rFonts w:hint="eastAsia" w:ascii="宋体" w:hAnsi="宋体" w:eastAsia="宋体" w:cs="宋体"/>
          <w:b/>
          <w:color w:val="000000"/>
          <w:sz w:val="30"/>
          <w:szCs w:val="30"/>
          <w:highlight w:val="none"/>
          <w:u w:val="single"/>
        </w:rPr>
        <w:t xml:space="preserve">               </w:t>
      </w:r>
    </w:p>
    <w:p>
      <w:pPr>
        <w:pStyle w:val="126"/>
        <w:pageBreakBefore w:val="0"/>
        <w:kinsoku/>
        <w:overflowPunct/>
        <w:topLinePunct w:val="0"/>
        <w:autoSpaceDE/>
        <w:autoSpaceDN/>
        <w:bidi w:val="0"/>
        <w:adjustRightInd/>
        <w:snapToGrid w:val="0"/>
        <w:spacing w:beforeAutospacing="0" w:afterAutospacing="0" w:line="360" w:lineRule="auto"/>
        <w:ind w:firstLine="0"/>
        <w:textAlignment w:val="auto"/>
        <w:outlineLvl w:val="9"/>
        <w:rPr>
          <w:rFonts w:hint="eastAsia" w:ascii="宋体" w:hAnsi="宋体" w:eastAsia="宋体" w:cs="宋体"/>
          <w:b/>
          <w:bCs/>
          <w:color w:val="000000"/>
          <w:sz w:val="24"/>
          <w:szCs w:val="24"/>
          <w:highlight w:val="none"/>
        </w:rPr>
      </w:pPr>
    </w:p>
    <w:p>
      <w:pPr>
        <w:pStyle w:val="36"/>
        <w:pageBreakBefore w:val="0"/>
        <w:widowControl/>
        <w:kinsoku/>
        <w:overflowPunct/>
        <w:topLinePunct w:val="0"/>
        <w:autoSpaceDE/>
        <w:autoSpaceDN/>
        <w:bidi w:val="0"/>
        <w:adjustRightInd/>
        <w:spacing w:before="0" w:beforeLines="0" w:beforeAutospacing="0" w:after="0" w:afterLines="0" w:afterAutospacing="0" w:line="360" w:lineRule="auto"/>
        <w:ind w:left="-288" w:right="-288"/>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 </w:t>
      </w:r>
    </w:p>
    <w:p>
      <w:pPr>
        <w:pStyle w:val="36"/>
        <w:pageBreakBefore w:val="0"/>
        <w:widowControl/>
        <w:kinsoku/>
        <w:overflowPunct/>
        <w:topLinePunct w:val="0"/>
        <w:autoSpaceDE/>
        <w:autoSpaceDN/>
        <w:bidi w:val="0"/>
        <w:adjustRightInd/>
        <w:spacing w:before="0" w:beforeLines="0" w:beforeAutospacing="0" w:after="0" w:afterLines="0" w:afterAutospacing="0" w:line="360" w:lineRule="auto"/>
        <w:ind w:left="-288" w:right="-288"/>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 </w:t>
      </w:r>
    </w:p>
    <w:p>
      <w:pPr>
        <w:pStyle w:val="36"/>
        <w:pageBreakBefore w:val="0"/>
        <w:kinsoku/>
        <w:overflowPunct/>
        <w:topLinePunct w:val="0"/>
        <w:autoSpaceDE/>
        <w:autoSpaceDN/>
        <w:bidi w:val="0"/>
        <w:adjustRightInd/>
        <w:spacing w:before="0" w:beforeLines="0" w:beforeAutospacing="0" w:after="0" w:afterLines="0" w:afterAutospacing="0" w:line="360" w:lineRule="auto"/>
        <w:jc w:val="center"/>
        <w:textAlignment w:val="auto"/>
        <w:outlineLvl w:val="9"/>
        <w:rPr>
          <w:rFonts w:hint="eastAsia" w:ascii="宋体" w:hAnsi="宋体" w:eastAsia="宋体" w:cs="宋体"/>
          <w:color w:val="000000"/>
          <w:sz w:val="32"/>
          <w:szCs w:val="32"/>
          <w:highlight w:val="none"/>
        </w:rPr>
      </w:pPr>
      <w:r>
        <w:rPr>
          <w:rStyle w:val="43"/>
          <w:rFonts w:hint="eastAsia" w:ascii="宋体" w:hAnsi="宋体" w:eastAsia="宋体" w:cs="宋体"/>
          <w:color w:val="000000"/>
          <w:sz w:val="32"/>
          <w:szCs w:val="32"/>
          <w:highlight w:val="none"/>
        </w:rPr>
        <w:t>索</w:t>
      </w:r>
      <w:r>
        <w:rPr>
          <w:rStyle w:val="43"/>
          <w:rFonts w:hint="eastAsia" w:ascii="宋体" w:hAnsi="宋体" w:eastAsia="宋体" w:cs="宋体"/>
          <w:color w:val="000000"/>
          <w:sz w:val="32"/>
          <w:szCs w:val="32"/>
          <w:highlight w:val="none"/>
          <w:lang w:val="en-US" w:eastAsia="zh-CN"/>
        </w:rPr>
        <w:t xml:space="preserve">  </w:t>
      </w:r>
      <w:r>
        <w:rPr>
          <w:rStyle w:val="43"/>
          <w:rFonts w:hint="eastAsia" w:ascii="宋体" w:hAnsi="宋体" w:eastAsia="宋体" w:cs="宋体"/>
          <w:color w:val="000000"/>
          <w:sz w:val="32"/>
          <w:szCs w:val="32"/>
          <w:highlight w:val="none"/>
        </w:rPr>
        <w:t>引</w:t>
      </w:r>
    </w:p>
    <w:p>
      <w:pPr>
        <w:pStyle w:val="36"/>
        <w:pageBreakBefore w:val="0"/>
        <w:numPr>
          <w:ilvl w:val="0"/>
          <w:numId w:val="0"/>
        </w:numPr>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numPr>
          <w:ilvl w:val="0"/>
          <w:numId w:val="8"/>
        </w:numPr>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标的说明一览表</w:t>
      </w:r>
    </w:p>
    <w:p>
      <w:pPr>
        <w:pStyle w:val="36"/>
        <w:pageBreakBefore w:val="0"/>
        <w:numPr>
          <w:ilvl w:val="0"/>
          <w:numId w:val="8"/>
        </w:numPr>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技术参数偏离表和商务偏离表</w:t>
      </w:r>
    </w:p>
    <w:p>
      <w:pPr>
        <w:pStyle w:val="36"/>
        <w:pageBreakBefore w:val="0"/>
        <w:numPr>
          <w:ilvl w:val="0"/>
          <w:numId w:val="8"/>
        </w:numPr>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质量保证及售后服务承诺书</w:t>
      </w:r>
    </w:p>
    <w:p>
      <w:pPr>
        <w:pStyle w:val="36"/>
        <w:pageBreakBefore w:val="0"/>
        <w:numPr>
          <w:ilvl w:val="0"/>
          <w:numId w:val="8"/>
        </w:numPr>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投标人提交的其他资料（若有）</w:t>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w:t>
      </w:r>
      <w:r>
        <w:rPr>
          <w:rFonts w:hint="eastAsia" w:ascii="宋体" w:hAnsi="宋体" w:eastAsia="宋体" w:cs="宋体"/>
          <w:color w:val="000000"/>
          <w:sz w:val="24"/>
          <w:szCs w:val="24"/>
          <w:highlight w:val="none"/>
        </w:rPr>
        <w:br w:type="page"/>
      </w:r>
      <w:r>
        <w:rPr>
          <w:rFonts w:hint="eastAsia" w:ascii="宋体" w:hAnsi="宋体" w:eastAsia="宋体" w:cs="宋体"/>
          <w:b/>
          <w:color w:val="000000"/>
          <w:sz w:val="30"/>
          <w:szCs w:val="30"/>
          <w:highlight w:val="none"/>
        </w:rPr>
        <w:t>一、标的说明一览表</w:t>
      </w:r>
      <w:r>
        <w:rPr>
          <w:rFonts w:hint="eastAsia" w:ascii="宋体" w:hAnsi="宋体" w:eastAsia="宋体" w:cs="宋体"/>
          <w:b/>
          <w:color w:val="000000"/>
          <w:sz w:val="30"/>
          <w:szCs w:val="30"/>
          <w:highlight w:val="none"/>
        </w:rPr>
        <w:br w:type="textWrapping"/>
      </w:r>
      <w:r>
        <w:rPr>
          <w:rFonts w:hint="eastAsia" w:ascii="宋体" w:hAnsi="宋体" w:eastAsia="宋体" w:cs="宋体"/>
          <w:color w:val="000000"/>
          <w:sz w:val="24"/>
          <w:szCs w:val="24"/>
          <w:highlight w:val="none"/>
        </w:rPr>
        <w:t xml:space="preserve"> （按投标合同包下品目号类别分别填写）</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bl>
      <w:tblPr>
        <w:tblStyle w:val="40"/>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002"/>
        <w:gridCol w:w="1342"/>
        <w:gridCol w:w="2002"/>
        <w:gridCol w:w="134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341"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合同包号</w:t>
            </w:r>
          </w:p>
        </w:tc>
        <w:tc>
          <w:tcPr>
            <w:tcW w:w="200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p>
        </w:tc>
        <w:tc>
          <w:tcPr>
            <w:tcW w:w="134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rPr>
              <w:t>名称</w:t>
            </w:r>
          </w:p>
        </w:tc>
        <w:tc>
          <w:tcPr>
            <w:tcW w:w="200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p>
        </w:tc>
        <w:tc>
          <w:tcPr>
            <w:tcW w:w="13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品牌</w:t>
            </w:r>
          </w:p>
        </w:tc>
        <w:tc>
          <w:tcPr>
            <w:tcW w:w="1908"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341"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型号</w:t>
            </w:r>
          </w:p>
        </w:tc>
        <w:tc>
          <w:tcPr>
            <w:tcW w:w="200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p>
        </w:tc>
        <w:tc>
          <w:tcPr>
            <w:tcW w:w="134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规格</w:t>
            </w:r>
          </w:p>
        </w:tc>
        <w:tc>
          <w:tcPr>
            <w:tcW w:w="2002"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p>
        </w:tc>
        <w:tc>
          <w:tcPr>
            <w:tcW w:w="1344"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1908" w:type="dxa"/>
            <w:vAlign w:val="center"/>
          </w:tcPr>
          <w:p>
            <w:pPr>
              <w:keepNext w:val="0"/>
              <w:keepLines w:val="0"/>
              <w:pageBreakBefore w:val="0"/>
              <w:kinsoku/>
              <w:overflowPunct/>
              <w:autoSpaceDE/>
              <w:autoSpaceDN/>
              <w:bidi w:val="0"/>
              <w:spacing w:line="360" w:lineRule="auto"/>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2" w:hRule="atLeast"/>
        </w:trPr>
        <w:tc>
          <w:tcPr>
            <w:tcW w:w="9939" w:type="dxa"/>
            <w:gridSpan w:val="6"/>
            <w:vAlign w:val="top"/>
          </w:tcPr>
          <w:p>
            <w:pPr>
              <w:keepNext w:val="0"/>
              <w:keepLines w:val="0"/>
              <w:pageBreakBefore w:val="0"/>
              <w:kinsoku/>
              <w:overflowPunct/>
              <w:autoSpaceDE/>
              <w:autoSpaceDN/>
              <w:bidi w:val="0"/>
              <w:spacing w:line="360" w:lineRule="auto"/>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详细性能说明</w:t>
            </w:r>
          </w:p>
        </w:tc>
      </w:tr>
    </w:tbl>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投标人代表签字： </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投标人（全称并加盖公章）：</w:t>
      </w:r>
      <w:r>
        <w:rPr>
          <w:rFonts w:hint="eastAsia" w:ascii="宋体" w:hAnsi="宋体" w:eastAsia="宋体" w:cs="宋体"/>
          <w:color w:val="000000"/>
          <w:sz w:val="24"/>
          <w:szCs w:val="24"/>
          <w:highlight w:val="none"/>
          <w:u w:val="single"/>
        </w:rPr>
        <w:t xml:space="preserve">                       </w:t>
      </w:r>
    </w:p>
    <w:p>
      <w:pPr>
        <w:pStyle w:val="36"/>
        <w:pageBreakBefore w:val="0"/>
        <w:kinsoku/>
        <w:overflowPunct/>
        <w:topLinePunct w:val="0"/>
        <w:autoSpaceDE/>
        <w:autoSpaceDN/>
        <w:bidi w:val="0"/>
        <w:adjustRightInd/>
        <w:spacing w:before="0" w:beforeLines="0" w:beforeAutospacing="0" w:after="0" w:afterLines="0" w:afterAutospacing="0" w:line="360" w:lineRule="auto"/>
        <w:textAlignment w:val="auto"/>
        <w:outlineLvl w:val="9"/>
        <w:rPr>
          <w:rFonts w:hint="eastAsia" w:ascii="宋体" w:hAnsi="宋体" w:eastAsia="宋体" w:cs="宋体"/>
          <w:color w:val="000000"/>
          <w:sz w:val="24"/>
          <w:szCs w:val="24"/>
          <w:highlight w:val="none"/>
        </w:rPr>
        <w:sectPr>
          <w:headerReference r:id="rId9" w:type="default"/>
          <w:footerReference r:id="rId10" w:type="default"/>
          <w:pgSz w:w="11905" w:h="16838"/>
          <w:pgMar w:top="1417" w:right="1417" w:bottom="964" w:left="1474" w:header="794" w:footer="737" w:gutter="0"/>
          <w:pgNumType w:fmt="decimal"/>
          <w:cols w:space="0" w:num="1"/>
          <w:rtlGutter w:val="0"/>
          <w:docGrid w:linePitch="323" w:charSpace="-2"/>
        </w:sectPr>
      </w:pPr>
      <w:r>
        <w:rPr>
          <w:rFonts w:hint="eastAsia" w:ascii="宋体" w:hAnsi="宋体" w:eastAsia="宋体" w:cs="宋体"/>
          <w:color w:val="000000"/>
          <w:sz w:val="24"/>
          <w:szCs w:val="24"/>
          <w:highlight w:val="none"/>
        </w:rPr>
        <w:t xml:space="preserve">日  期：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年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月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pStyle w:val="22"/>
        <w:pageBreakBefore w:val="0"/>
        <w:kinsoku/>
        <w:overflowPunct/>
        <w:topLinePunct w:val="0"/>
        <w:autoSpaceDE/>
        <w:autoSpaceDN/>
        <w:bidi w:val="0"/>
        <w:adjustRightInd/>
        <w:snapToGrid w:val="0"/>
        <w:spacing w:beforeAutospacing="0" w:afterAutospacing="0" w:line="360" w:lineRule="auto"/>
        <w:jc w:val="left"/>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b/>
          <w:color w:val="000000"/>
          <w:sz w:val="24"/>
          <w:szCs w:val="24"/>
          <w:highlight w:val="none"/>
        </w:rPr>
        <w:br w:type="page"/>
      </w:r>
    </w:p>
    <w:p>
      <w:pPr>
        <w:pStyle w:val="93"/>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30"/>
          <w:szCs w:val="30"/>
          <w:highlight w:val="none"/>
        </w:rPr>
      </w:pPr>
      <w:bookmarkStart w:id="178" w:name="_Toc14889"/>
      <w:bookmarkStart w:id="179" w:name="_Toc11549"/>
      <w:bookmarkStart w:id="180" w:name="_Toc23675"/>
      <w:bookmarkStart w:id="181" w:name="_Toc15055"/>
      <w:r>
        <w:rPr>
          <w:rFonts w:hint="eastAsia" w:ascii="宋体" w:hAnsi="宋体" w:eastAsia="宋体" w:cs="宋体"/>
          <w:color w:val="000000"/>
          <w:sz w:val="30"/>
          <w:szCs w:val="30"/>
          <w:highlight w:val="none"/>
          <w:lang w:eastAsia="zh-CN"/>
        </w:rPr>
        <w:t>二</w:t>
      </w:r>
      <w:r>
        <w:rPr>
          <w:rFonts w:hint="eastAsia" w:ascii="宋体" w:hAnsi="宋体" w:eastAsia="宋体" w:cs="宋体"/>
          <w:color w:val="000000"/>
          <w:sz w:val="30"/>
          <w:szCs w:val="30"/>
          <w:highlight w:val="none"/>
        </w:rPr>
        <w:t>、</w:t>
      </w:r>
      <w:r>
        <w:rPr>
          <w:rFonts w:hint="eastAsia" w:ascii="宋体" w:hAnsi="宋体" w:eastAsia="宋体" w:cs="宋体"/>
          <w:b/>
          <w:color w:val="000000"/>
          <w:sz w:val="30"/>
          <w:szCs w:val="30"/>
          <w:highlight w:val="none"/>
        </w:rPr>
        <w:t>技术参数偏离表和商务偏离表</w:t>
      </w:r>
      <w:bookmarkEnd w:id="178"/>
      <w:bookmarkEnd w:id="179"/>
      <w:bookmarkEnd w:id="180"/>
      <w:bookmarkEnd w:id="181"/>
    </w:p>
    <w:p>
      <w:pPr>
        <w:pStyle w:val="93"/>
        <w:pageBreakBefore w:val="0"/>
        <w:kinsoku/>
        <w:overflowPunct/>
        <w:topLinePunct w:val="0"/>
        <w:autoSpaceDE/>
        <w:autoSpaceDN/>
        <w:bidi w:val="0"/>
        <w:adjustRightInd/>
        <w:spacing w:beforeAutospacing="0" w:afterAutospacing="0" w:line="360" w:lineRule="auto"/>
        <w:ind w:left="15" w:leftChars="0" w:hanging="15" w:hangingChars="5"/>
        <w:jc w:val="center"/>
        <w:textAlignment w:val="auto"/>
        <w:outlineLvl w:val="9"/>
        <w:rPr>
          <w:rFonts w:hint="eastAsia" w:ascii="宋体" w:hAnsi="宋体" w:eastAsia="宋体" w:cs="宋体"/>
          <w:b/>
          <w:color w:val="000000"/>
          <w:sz w:val="30"/>
          <w:szCs w:val="30"/>
          <w:highlight w:val="none"/>
        </w:rPr>
      </w:pPr>
      <w:bookmarkStart w:id="182" w:name="_Toc10635"/>
      <w:bookmarkStart w:id="183" w:name="_Toc20451"/>
      <w:bookmarkStart w:id="184" w:name="_Toc31537"/>
      <w:bookmarkStart w:id="185" w:name="_Toc1228"/>
      <w:r>
        <w:rPr>
          <w:rFonts w:hint="eastAsia" w:ascii="宋体" w:hAnsi="宋体" w:eastAsia="宋体" w:cs="宋体"/>
          <w:b/>
          <w:color w:val="000000"/>
          <w:sz w:val="30"/>
          <w:szCs w:val="30"/>
          <w:highlight w:val="none"/>
        </w:rPr>
        <w:t>1、技术参数偏离表</w:t>
      </w:r>
      <w:bookmarkEnd w:id="182"/>
      <w:bookmarkEnd w:id="183"/>
      <w:bookmarkEnd w:id="184"/>
      <w:bookmarkEnd w:id="185"/>
    </w:p>
    <w:p>
      <w:pPr>
        <w:pStyle w:val="93"/>
        <w:pageBreakBefore w:val="0"/>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bl>
      <w:tblPr>
        <w:tblStyle w:val="40"/>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1277"/>
        <w:gridCol w:w="1180"/>
        <w:gridCol w:w="1750"/>
        <w:gridCol w:w="119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条款要求</w:t>
            </w:r>
          </w:p>
        </w:tc>
        <w:tc>
          <w:tcPr>
            <w:tcW w:w="127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项目</w:t>
            </w:r>
            <w:r>
              <w:rPr>
                <w:rFonts w:hint="eastAsia" w:ascii="宋体" w:hAnsi="宋体" w:eastAsia="宋体" w:cs="宋体"/>
                <w:color w:val="000000"/>
                <w:sz w:val="24"/>
                <w:szCs w:val="24"/>
                <w:highlight w:val="none"/>
              </w:rPr>
              <w:t>名称</w:t>
            </w: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条目号</w:t>
            </w: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招标技术要求</w:t>
            </w:r>
          </w:p>
        </w:tc>
        <w:tc>
          <w:tcPr>
            <w:tcW w:w="119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投标</w:t>
            </w:r>
            <w:r>
              <w:rPr>
                <w:rFonts w:hint="eastAsia" w:ascii="宋体" w:hAnsi="宋体" w:eastAsia="宋体" w:cs="宋体"/>
                <w:color w:val="000000"/>
                <w:sz w:val="24"/>
                <w:szCs w:val="24"/>
                <w:highlight w:val="none"/>
                <w:lang w:eastAsia="zh-CN"/>
              </w:rPr>
              <w:t>响应</w:t>
            </w:r>
          </w:p>
        </w:tc>
        <w:tc>
          <w:tcPr>
            <w:tcW w:w="123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718" w:type="dxa"/>
            <w:vMerge w:val="restart"/>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ind w:right="113"/>
              <w:jc w:val="both"/>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招标文件第三章</w:t>
            </w:r>
            <w:r>
              <w:rPr>
                <w:rFonts w:hint="eastAsia" w:ascii="宋体" w:hAnsi="宋体" w:eastAsia="宋体" w:cs="宋体"/>
                <w:color w:val="000000"/>
                <w:sz w:val="24"/>
                <w:szCs w:val="24"/>
                <w:highlight w:val="none"/>
                <w:lang w:val="en-US" w:eastAsia="zh-CN"/>
              </w:rPr>
              <w:t xml:space="preserve"> 《招标内容及要求》 </w:t>
            </w:r>
            <w:r>
              <w:rPr>
                <w:rFonts w:hint="eastAsia" w:ascii="宋体" w:hAnsi="宋体" w:eastAsia="宋体" w:cs="宋体"/>
                <w:color w:val="000000"/>
                <w:sz w:val="24"/>
                <w:szCs w:val="24"/>
                <w:highlight w:val="none"/>
                <w:lang w:eastAsia="zh-CN"/>
              </w:rPr>
              <w:t>二、技术要求</w:t>
            </w:r>
          </w:p>
        </w:tc>
        <w:tc>
          <w:tcPr>
            <w:tcW w:w="1277"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ind w:left="113" w:leftChars="54" w:right="113" w:firstLine="240" w:firstLineChars="100"/>
              <w:jc w:val="center"/>
              <w:textAlignment w:val="auto"/>
              <w:outlineLvl w:val="9"/>
              <w:rPr>
                <w:rFonts w:hint="eastAsia" w:ascii="宋体" w:hAnsi="宋体" w:eastAsia="宋体" w:cs="宋体"/>
                <w:color w:val="000000"/>
                <w:sz w:val="24"/>
                <w:szCs w:val="24"/>
                <w:highlight w:val="none"/>
              </w:rPr>
            </w:pP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ind w:right="206" w:rightChars="98"/>
              <w:textAlignment w:val="auto"/>
              <w:outlineLvl w:val="9"/>
              <w:rPr>
                <w:rFonts w:hint="eastAsia" w:ascii="宋体" w:hAnsi="宋体" w:eastAsia="宋体" w:cs="宋体"/>
                <w:bCs/>
                <w:color w:val="000000"/>
                <w:sz w:val="24"/>
                <w:szCs w:val="24"/>
                <w:highlight w:val="none"/>
              </w:rPr>
            </w:pPr>
          </w:p>
        </w:tc>
        <w:tc>
          <w:tcPr>
            <w:tcW w:w="119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718"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277" w:type="dxa"/>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19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718"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277" w:type="dxa"/>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19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718" w:type="dxa"/>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277" w:type="dxa"/>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pacing w:val="-14"/>
                <w:sz w:val="24"/>
                <w:szCs w:val="24"/>
                <w:highlight w:val="none"/>
              </w:rPr>
            </w:pPr>
            <w:r>
              <w:rPr>
                <w:rFonts w:hint="eastAsia" w:ascii="宋体" w:hAnsi="宋体" w:eastAsia="宋体" w:cs="宋体"/>
                <w:color w:val="000000"/>
                <w:spacing w:val="-14"/>
                <w:sz w:val="24"/>
                <w:szCs w:val="24"/>
                <w:highlight w:val="none"/>
              </w:rPr>
              <w:t>……</w:t>
            </w: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19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r>
    </w:tbl>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w:t>
      </w:r>
    </w:p>
    <w:p>
      <w:pPr>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1、为使评标专家准确理解及保证评标工作顺利进行，请投标公司针对招标文件的要求，结合投标产品的实际逐条进行相对应的应答，否则按无效标处理。</w:t>
      </w:r>
    </w:p>
    <w:p>
      <w:pPr>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2、偏离说明中填写“正偏离”、“负偏离”及“无偏离”，不得在“投标技术参数”栏中完全照搬招标文件的内容或仅出现“响应”字样，未按要求填写者按无效标处理。</w:t>
      </w:r>
    </w:p>
    <w:p>
      <w:pPr>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3、投标人提交的投标技术参数与招标文件的“第三章 二、技术参数及要求”须逐条对应列在偏离表中。若无详细技术参数偏离表则视为没有实质性响应招标文件要求）（投标人制表时应删除此段话）</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投标人代表签字： </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投标人（全称并加盖公章）：</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日  期：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年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月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pStyle w:val="93"/>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Style w:val="93"/>
        <w:pageBreakBefore w:val="0"/>
        <w:kinsoku/>
        <w:overflowPunct/>
        <w:topLinePunct w:val="0"/>
        <w:autoSpaceDE/>
        <w:autoSpaceDN/>
        <w:bidi w:val="0"/>
        <w:adjustRightInd/>
        <w:spacing w:beforeAutospacing="0" w:afterAutospacing="0" w:line="360" w:lineRule="auto"/>
        <w:ind w:left="0" w:leftChars="0" w:firstLine="0" w:firstLineChars="0"/>
        <w:jc w:val="center"/>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24"/>
          <w:szCs w:val="24"/>
          <w:highlight w:val="none"/>
        </w:rPr>
        <w:br w:type="page"/>
      </w:r>
      <w:bookmarkStart w:id="186" w:name="_Toc5610"/>
      <w:bookmarkStart w:id="187" w:name="_Toc11677"/>
      <w:bookmarkStart w:id="188" w:name="_Toc12847"/>
      <w:bookmarkStart w:id="189" w:name="_Toc29300"/>
      <w:r>
        <w:rPr>
          <w:rFonts w:hint="eastAsia" w:ascii="宋体" w:hAnsi="宋体" w:eastAsia="宋体" w:cs="宋体"/>
          <w:b/>
          <w:color w:val="000000"/>
          <w:sz w:val="30"/>
          <w:szCs w:val="30"/>
          <w:highlight w:val="none"/>
        </w:rPr>
        <w:t>2、商务偏离表</w:t>
      </w:r>
      <w:bookmarkEnd w:id="186"/>
      <w:bookmarkEnd w:id="187"/>
      <w:bookmarkEnd w:id="188"/>
      <w:bookmarkEnd w:id="189"/>
    </w:p>
    <w:p>
      <w:pPr>
        <w:pStyle w:val="93"/>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tbl>
      <w:tblPr>
        <w:tblStyle w:val="40"/>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1277"/>
        <w:gridCol w:w="1180"/>
        <w:gridCol w:w="1750"/>
        <w:gridCol w:w="119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条款要求</w:t>
            </w:r>
          </w:p>
        </w:tc>
        <w:tc>
          <w:tcPr>
            <w:tcW w:w="127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项目</w:t>
            </w:r>
            <w:r>
              <w:rPr>
                <w:rFonts w:hint="eastAsia" w:ascii="宋体" w:hAnsi="宋体" w:eastAsia="宋体" w:cs="宋体"/>
                <w:color w:val="000000"/>
                <w:sz w:val="24"/>
                <w:szCs w:val="24"/>
                <w:highlight w:val="none"/>
              </w:rPr>
              <w:t>名称</w:t>
            </w: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条目号</w:t>
            </w: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招标技术要求</w:t>
            </w:r>
          </w:p>
        </w:tc>
        <w:tc>
          <w:tcPr>
            <w:tcW w:w="119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投标</w:t>
            </w:r>
            <w:r>
              <w:rPr>
                <w:rFonts w:hint="eastAsia" w:ascii="宋体" w:hAnsi="宋体" w:eastAsia="宋体" w:cs="宋体"/>
                <w:color w:val="000000"/>
                <w:sz w:val="24"/>
                <w:szCs w:val="24"/>
                <w:highlight w:val="none"/>
                <w:lang w:eastAsia="zh-CN"/>
              </w:rPr>
              <w:t>响应</w:t>
            </w:r>
          </w:p>
        </w:tc>
        <w:tc>
          <w:tcPr>
            <w:tcW w:w="123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718" w:type="dxa"/>
            <w:vMerge w:val="restart"/>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ind w:right="113"/>
              <w:jc w:val="both"/>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招标文件第三章</w:t>
            </w:r>
            <w:r>
              <w:rPr>
                <w:rFonts w:hint="eastAsia" w:ascii="宋体" w:hAnsi="宋体" w:eastAsia="宋体" w:cs="宋体"/>
                <w:color w:val="000000"/>
                <w:sz w:val="24"/>
                <w:szCs w:val="24"/>
                <w:highlight w:val="none"/>
                <w:lang w:val="en-US" w:eastAsia="zh-CN"/>
              </w:rPr>
              <w:t xml:space="preserve"> 《招标内容及要求》 三、商务要求</w:t>
            </w:r>
          </w:p>
        </w:tc>
        <w:tc>
          <w:tcPr>
            <w:tcW w:w="1277" w:type="dxa"/>
            <w:tcBorders>
              <w:top w:val="single" w:color="auto" w:sz="4" w:space="0"/>
              <w:left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ind w:left="113" w:leftChars="54" w:right="113" w:firstLine="240" w:firstLineChars="100"/>
              <w:jc w:val="center"/>
              <w:textAlignment w:val="auto"/>
              <w:outlineLvl w:val="9"/>
              <w:rPr>
                <w:rFonts w:hint="eastAsia" w:ascii="宋体" w:hAnsi="宋体" w:eastAsia="宋体" w:cs="宋体"/>
                <w:color w:val="000000"/>
                <w:sz w:val="24"/>
                <w:szCs w:val="24"/>
                <w:highlight w:val="none"/>
              </w:rPr>
            </w:pP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ind w:right="206" w:rightChars="98"/>
              <w:textAlignment w:val="auto"/>
              <w:outlineLvl w:val="9"/>
              <w:rPr>
                <w:rFonts w:hint="eastAsia" w:ascii="宋体" w:hAnsi="宋体" w:eastAsia="宋体" w:cs="宋体"/>
                <w:bCs/>
                <w:color w:val="000000"/>
                <w:sz w:val="24"/>
                <w:szCs w:val="24"/>
                <w:highlight w:val="none"/>
              </w:rPr>
            </w:pPr>
          </w:p>
        </w:tc>
        <w:tc>
          <w:tcPr>
            <w:tcW w:w="119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718"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277" w:type="dxa"/>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19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718" w:type="dxa"/>
            <w:vMerge w:val="continue"/>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277" w:type="dxa"/>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color w:val="000000"/>
                <w:sz w:val="24"/>
                <w:szCs w:val="24"/>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19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718" w:type="dxa"/>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277" w:type="dxa"/>
            <w:tcBorders>
              <w:left w:val="single" w:color="auto" w:sz="4" w:space="0"/>
              <w:right w:val="single" w:color="auto" w:sz="4" w:space="0"/>
            </w:tcBorders>
            <w:vAlign w:val="center"/>
          </w:tcPr>
          <w:p>
            <w:pPr>
              <w:pageBreakBefore w:val="0"/>
              <w:widowControl/>
              <w:kinsoku/>
              <w:overflowPunct/>
              <w:topLinePunct w:val="0"/>
              <w:autoSpaceDE/>
              <w:autoSpaceDN/>
              <w:bidi w:val="0"/>
              <w:adjustRightInd/>
              <w:spacing w:beforeAutospacing="0" w:afterAutospacing="0" w:line="360" w:lineRule="auto"/>
              <w:jc w:val="left"/>
              <w:textAlignment w:val="auto"/>
              <w:outlineLvl w:val="9"/>
              <w:rPr>
                <w:rFonts w:hint="eastAsia" w:ascii="宋体" w:hAnsi="宋体" w:eastAsia="宋体" w:cs="宋体"/>
                <w:color w:val="000000"/>
                <w:sz w:val="24"/>
                <w:szCs w:val="24"/>
                <w:highlight w:val="none"/>
              </w:rPr>
            </w:pPr>
          </w:p>
        </w:tc>
        <w:tc>
          <w:tcPr>
            <w:tcW w:w="11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pacing w:val="-14"/>
                <w:sz w:val="24"/>
                <w:szCs w:val="24"/>
                <w:highlight w:val="none"/>
              </w:rPr>
            </w:pPr>
            <w:r>
              <w:rPr>
                <w:rFonts w:hint="eastAsia" w:ascii="宋体" w:hAnsi="宋体" w:eastAsia="宋体" w:cs="宋体"/>
                <w:color w:val="000000"/>
                <w:spacing w:val="-14"/>
                <w:sz w:val="24"/>
                <w:szCs w:val="24"/>
                <w:highlight w:val="none"/>
              </w:rPr>
              <w:t>……</w:t>
            </w:r>
          </w:p>
        </w:tc>
        <w:tc>
          <w:tcPr>
            <w:tcW w:w="17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19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vAlign w:val="top"/>
          </w:tcPr>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tc>
      </w:tr>
    </w:tbl>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w:t>
      </w:r>
    </w:p>
    <w:p>
      <w:pPr>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1、为使评标专家准确理解及保证评标工作顺利进行，请投标公司针对招标文件的要求，结合投标产品的实际逐条进行相对应的应答，否则按无效标处理。</w:t>
      </w:r>
    </w:p>
    <w:p>
      <w:pPr>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2、偏离说明中填写“正偏离”、“负偏离”及“无偏离”，不得在“投标响应”栏中仅出现“响应”字样，未按要求填写者按无效标处理。</w:t>
      </w:r>
    </w:p>
    <w:p>
      <w:pPr>
        <w:pageBreakBefore w:val="0"/>
        <w:kinsoku/>
        <w:overflowPunct/>
        <w:topLinePunct w:val="0"/>
        <w:autoSpaceDE/>
        <w:autoSpaceDN/>
        <w:bidi w:val="0"/>
        <w:adjustRightInd/>
        <w:spacing w:beforeAutospacing="0" w:afterAutospacing="0" w:line="360" w:lineRule="auto"/>
        <w:ind w:firstLine="482" w:firstLineChars="200"/>
        <w:textAlignment w:val="auto"/>
        <w:outlineLvl w:val="9"/>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3、投标人提交的投标响应情况与招标文件的“第三章 三、商务要求”须逐条对应列在偏离表中。若无详细商务偏离表则视为没有实质性响应招标文件要求）（投标人制表时应删除此段话）</w:t>
      </w:r>
    </w:p>
    <w:p>
      <w:pPr>
        <w:pStyle w:val="38"/>
        <w:pageBreakBefore w:val="0"/>
        <w:kinsoku/>
        <w:overflowPunct/>
        <w:bidi w:val="0"/>
        <w:spacing w:line="360" w:lineRule="auto"/>
        <w:outlineLvl w:val="9"/>
        <w:rPr>
          <w:rFonts w:hint="eastAsia"/>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投标人代表签字： </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投标人（全称并加盖公章）：</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sectPr>
          <w:headerReference r:id="rId11" w:type="default"/>
          <w:type w:val="continuous"/>
          <w:pgSz w:w="11905" w:h="16838"/>
          <w:pgMar w:top="1417" w:right="1417" w:bottom="964" w:left="1474" w:header="794" w:footer="737" w:gutter="0"/>
          <w:pgNumType w:fmt="decimal"/>
          <w:cols w:space="0" w:num="1"/>
          <w:rtlGutter w:val="0"/>
          <w:docGrid w:linePitch="323" w:charSpace="0"/>
        </w:sectPr>
      </w:pPr>
      <w:r>
        <w:rPr>
          <w:rFonts w:hint="eastAsia" w:ascii="宋体" w:hAnsi="宋体" w:eastAsia="宋体" w:cs="宋体"/>
          <w:color w:val="000000"/>
          <w:sz w:val="24"/>
          <w:szCs w:val="24"/>
          <w:highlight w:val="none"/>
        </w:rPr>
        <w:t xml:space="preserve">日  期：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年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月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p>
      <w:pPr>
        <w:pStyle w:val="38"/>
        <w:pageBreakBefore w:val="0"/>
        <w:kinsoku/>
        <w:overflowPunct/>
        <w:bidi w:val="0"/>
        <w:spacing w:line="360" w:lineRule="auto"/>
        <w:outlineLvl w:val="9"/>
        <w:rPr>
          <w:rFonts w:hint="eastAsia" w:ascii="宋体" w:hAnsi="宋体" w:eastAsia="宋体" w:cs="宋体"/>
          <w:b/>
          <w:color w:val="000000"/>
          <w:sz w:val="24"/>
          <w:szCs w:val="24"/>
          <w:highlight w:val="none"/>
        </w:rPr>
      </w:pPr>
    </w:p>
    <w:p>
      <w:pPr>
        <w:pageBreakBefore w:val="0"/>
        <w:kinsoku/>
        <w:overflowPunct/>
        <w:bidi w:val="0"/>
        <w:spacing w:line="360" w:lineRule="auto"/>
        <w:outlineLvl w:val="9"/>
        <w:rPr>
          <w:rFonts w:hint="eastAsia" w:ascii="宋体" w:hAnsi="宋体" w:eastAsia="宋体" w:cs="宋体"/>
          <w:b/>
          <w:color w:val="000000"/>
          <w:sz w:val="24"/>
          <w:szCs w:val="24"/>
          <w:highlight w:val="none"/>
        </w:rPr>
      </w:pPr>
    </w:p>
    <w:p>
      <w:pPr>
        <w:pStyle w:val="38"/>
        <w:pageBreakBefore w:val="0"/>
        <w:kinsoku/>
        <w:overflowPunct/>
        <w:bidi w:val="0"/>
        <w:spacing w:line="360" w:lineRule="auto"/>
        <w:outlineLvl w:val="9"/>
        <w:rPr>
          <w:rFonts w:hint="eastAsia" w:ascii="宋体" w:hAnsi="宋体" w:eastAsia="宋体" w:cs="宋体"/>
          <w:b/>
          <w:color w:val="000000"/>
          <w:sz w:val="24"/>
          <w:szCs w:val="24"/>
          <w:highlight w:val="none"/>
        </w:rPr>
      </w:pPr>
    </w:p>
    <w:p>
      <w:pPr>
        <w:pageBreakBefore w:val="0"/>
        <w:kinsoku/>
        <w:overflowPunct/>
        <w:bidi w:val="0"/>
        <w:spacing w:line="360" w:lineRule="auto"/>
        <w:outlineLvl w:val="9"/>
        <w:rPr>
          <w:rFonts w:hint="eastAsia" w:ascii="宋体" w:hAnsi="宋体" w:eastAsia="宋体" w:cs="宋体"/>
          <w:b/>
          <w:color w:val="000000"/>
          <w:sz w:val="24"/>
          <w:szCs w:val="24"/>
          <w:highlight w:val="none"/>
        </w:rPr>
      </w:pPr>
    </w:p>
    <w:p>
      <w:pPr>
        <w:pStyle w:val="38"/>
        <w:pageBreakBefore w:val="0"/>
        <w:kinsoku/>
        <w:overflowPunct/>
        <w:bidi w:val="0"/>
        <w:spacing w:line="360" w:lineRule="auto"/>
        <w:outlineLvl w:val="9"/>
        <w:rPr>
          <w:rFonts w:hint="eastAsia" w:ascii="宋体" w:hAnsi="宋体" w:eastAsia="宋体" w:cs="宋体"/>
          <w:b/>
          <w:color w:val="000000"/>
          <w:sz w:val="24"/>
          <w:szCs w:val="24"/>
          <w:highlight w:val="none"/>
        </w:rPr>
      </w:pPr>
    </w:p>
    <w:p>
      <w:pPr>
        <w:pStyle w:val="38"/>
        <w:pageBreakBefore w:val="0"/>
        <w:kinsoku/>
        <w:overflowPunct/>
        <w:bidi w:val="0"/>
        <w:spacing w:line="360" w:lineRule="auto"/>
        <w:outlineLvl w:val="9"/>
        <w:rPr>
          <w:rFonts w:hint="eastAsia"/>
          <w:highlight w:val="none"/>
        </w:rPr>
        <w:sectPr>
          <w:headerReference r:id="rId12" w:type="default"/>
          <w:type w:val="continuous"/>
          <w:pgSz w:w="11905" w:h="16838"/>
          <w:pgMar w:top="1417" w:right="1417" w:bottom="964" w:left="1474" w:header="794" w:footer="737" w:gutter="0"/>
          <w:pgNumType w:fmt="decimal"/>
          <w:cols w:space="0" w:num="1"/>
          <w:rtlGutter w:val="0"/>
          <w:docGrid w:linePitch="323" w:charSpace="-2"/>
        </w:sectPr>
      </w:pPr>
    </w:p>
    <w:p>
      <w:pPr>
        <w:pageBreakBefore w:val="0"/>
        <w:tabs>
          <w:tab w:val="left" w:pos="900"/>
        </w:tabs>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color w:val="000000"/>
          <w:sz w:val="30"/>
          <w:szCs w:val="30"/>
          <w:highlight w:val="none"/>
        </w:rPr>
      </w:pPr>
      <w:r>
        <w:rPr>
          <w:rFonts w:hint="eastAsia" w:ascii="宋体" w:hAnsi="宋体" w:cs="宋体"/>
          <w:b/>
          <w:color w:val="000000"/>
          <w:sz w:val="30"/>
          <w:szCs w:val="30"/>
          <w:highlight w:val="none"/>
          <w:lang w:eastAsia="zh-CN"/>
        </w:rPr>
        <w:t>三</w:t>
      </w:r>
      <w:r>
        <w:rPr>
          <w:rFonts w:hint="eastAsia" w:ascii="宋体" w:hAnsi="宋体" w:eastAsia="宋体" w:cs="宋体"/>
          <w:b/>
          <w:color w:val="000000"/>
          <w:sz w:val="30"/>
          <w:szCs w:val="30"/>
          <w:highlight w:val="none"/>
        </w:rPr>
        <w:t>、质量保证及售后服务承诺书</w:t>
      </w:r>
    </w:p>
    <w:p>
      <w:pPr>
        <w:pageBreakBefore w:val="0"/>
        <w:tabs>
          <w:tab w:val="left" w:pos="900"/>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tabs>
          <w:tab w:val="left" w:pos="900"/>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tabs>
          <w:tab w:val="left" w:pos="900"/>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注：投标人根据招标文件中的要求，并结合自身实际情况加以承诺，自行编制。</w:t>
      </w:r>
    </w:p>
    <w:p>
      <w:pPr>
        <w:pageBreakBefore w:val="0"/>
        <w:tabs>
          <w:tab w:val="left" w:pos="900"/>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tabs>
          <w:tab w:val="left" w:pos="900"/>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投标人代表签字： </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投标人（全称并加盖公章）：</w:t>
      </w:r>
      <w:r>
        <w:rPr>
          <w:rFonts w:hint="eastAsia" w:ascii="宋体" w:hAnsi="宋体" w:eastAsia="宋体" w:cs="宋体"/>
          <w:color w:val="000000"/>
          <w:sz w:val="24"/>
          <w:szCs w:val="24"/>
          <w:highlight w:val="none"/>
          <w:u w:val="single"/>
        </w:rPr>
        <w:t xml:space="preserve">                       </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日  期：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年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月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keepNext w:val="0"/>
        <w:keepLines w:val="0"/>
        <w:pageBreakBefore w:val="0"/>
        <w:kinsoku/>
        <w:overflowPunct/>
        <w:autoSpaceDE/>
        <w:autoSpaceDN/>
        <w:bidi w:val="0"/>
        <w:spacing w:line="360" w:lineRule="auto"/>
        <w:ind w:firstLine="480" w:firstLineChars="200"/>
        <w:textAlignment w:val="auto"/>
        <w:outlineLvl w:val="9"/>
        <w:rPr>
          <w:rFonts w:hint="eastAsia" w:ascii="宋体" w:hAnsi="宋体" w:eastAsia="宋体" w:cs="宋体"/>
          <w:color w:val="000000"/>
          <w:sz w:val="24"/>
          <w:szCs w:val="24"/>
          <w:highlight w:val="none"/>
        </w:rPr>
        <w:sectPr>
          <w:headerReference r:id="rId13" w:type="default"/>
          <w:type w:val="continuous"/>
          <w:pgSz w:w="11905" w:h="16838"/>
          <w:pgMar w:top="1417" w:right="1417" w:bottom="964" w:left="1474" w:header="794" w:footer="737" w:gutter="0"/>
          <w:pgNumType w:fmt="decimal"/>
          <w:cols w:space="0" w:num="1"/>
          <w:rtlGutter w:val="0"/>
          <w:docGrid w:linePitch="323" w:charSpace="0"/>
        </w:sectPr>
      </w:pPr>
      <w:r>
        <w:rPr>
          <w:rFonts w:hint="eastAsia" w:ascii="宋体" w:hAnsi="宋体" w:eastAsia="宋体" w:cs="宋体"/>
          <w:color w:val="000000"/>
          <w:sz w:val="24"/>
          <w:szCs w:val="24"/>
          <w:highlight w:val="none"/>
        </w:rPr>
        <w:br w:type="page"/>
      </w: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24"/>
          <w:szCs w:val="24"/>
          <w:highlight w:val="none"/>
        </w:rPr>
      </w:pPr>
    </w:p>
    <w:p>
      <w:pPr>
        <w:pageBreakBefore w:val="0"/>
        <w:kinsoku/>
        <w:overflowPunct/>
        <w:topLinePunct w:val="0"/>
        <w:autoSpaceDE/>
        <w:autoSpaceDN/>
        <w:bidi w:val="0"/>
        <w:adjustRightInd/>
        <w:spacing w:beforeAutospacing="0" w:afterAutospacing="0" w:line="360" w:lineRule="auto"/>
        <w:jc w:val="center"/>
        <w:textAlignment w:val="auto"/>
        <w:outlineLvl w:val="9"/>
        <w:rPr>
          <w:rFonts w:hint="eastAsia" w:ascii="宋体" w:hAnsi="宋体" w:eastAsia="宋体" w:cs="宋体"/>
          <w:b/>
          <w:bCs/>
          <w:color w:val="000000"/>
          <w:sz w:val="30"/>
          <w:szCs w:val="30"/>
          <w:highlight w:val="none"/>
        </w:rPr>
      </w:pPr>
      <w:r>
        <w:rPr>
          <w:rFonts w:hint="eastAsia" w:ascii="宋体" w:hAnsi="宋体" w:cs="宋体"/>
          <w:b/>
          <w:bCs/>
          <w:color w:val="000000"/>
          <w:sz w:val="30"/>
          <w:szCs w:val="30"/>
          <w:highlight w:val="none"/>
          <w:lang w:eastAsia="zh-CN"/>
        </w:rPr>
        <w:t>四</w:t>
      </w:r>
      <w:r>
        <w:rPr>
          <w:rFonts w:hint="eastAsia" w:ascii="宋体" w:hAnsi="宋体" w:eastAsia="宋体" w:cs="宋体"/>
          <w:b/>
          <w:bCs/>
          <w:color w:val="000000"/>
          <w:sz w:val="30"/>
          <w:szCs w:val="30"/>
          <w:highlight w:val="none"/>
        </w:rPr>
        <w:t>、投标人提交的其他资料（若有）</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p>
    <w:p>
      <w:pPr>
        <w:pageBreakBefore w:val="0"/>
        <w:kinsoku/>
        <w:overflowPunct/>
        <w:topLinePunct w:val="0"/>
        <w:autoSpaceDE/>
        <w:autoSpaceDN/>
        <w:bidi w:val="0"/>
        <w:adjustRightInd/>
        <w:spacing w:beforeAutospacing="0" w:afterAutospacing="0" w:line="360" w:lineRule="auto"/>
        <w:ind w:firstLine="480" w:firstLineChars="200"/>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投标人认为应提交的其他材料，可在此附件中提交。</w:t>
      </w:r>
    </w:p>
    <w:p>
      <w:pPr>
        <w:pageBreakBefore w:val="0"/>
        <w:kinsoku/>
        <w:overflowPunct/>
        <w:topLinePunct w:val="0"/>
        <w:autoSpaceDE/>
        <w:autoSpaceDN/>
        <w:bidi w:val="0"/>
        <w:adjustRightInd/>
        <w:spacing w:beforeAutospacing="0" w:afterAutospacing="0" w:line="360" w:lineRule="auto"/>
        <w:ind w:firstLine="480"/>
        <w:textAlignment w:val="auto"/>
        <w:outlineLvl w:val="9"/>
        <w:rPr>
          <w:rFonts w:hint="eastAsia" w:ascii="宋体" w:hAnsi="宋体" w:eastAsia="宋体" w:cs="宋体"/>
          <w:color w:val="000000"/>
          <w:sz w:val="24"/>
          <w:szCs w:val="24"/>
          <w:highlight w:val="none"/>
        </w:rPr>
      </w:pPr>
    </w:p>
    <w:p>
      <w:pPr>
        <w:pStyle w:val="38"/>
        <w:pageBreakBefore w:val="0"/>
        <w:kinsoku/>
        <w:overflowPunct/>
        <w:bidi w:val="0"/>
        <w:spacing w:line="360" w:lineRule="auto"/>
        <w:outlineLvl w:val="9"/>
        <w:rPr>
          <w:rFonts w:hint="eastAsia"/>
          <w:highlight w:val="none"/>
        </w:rPr>
      </w:pPr>
    </w:p>
    <w:p>
      <w:pPr>
        <w:pageBreakBefore w:val="0"/>
        <w:tabs>
          <w:tab w:val="left" w:pos="900"/>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投标人名称（全称并加盖公章）：</w:t>
      </w:r>
      <w:r>
        <w:rPr>
          <w:rFonts w:hint="eastAsia" w:ascii="宋体" w:hAnsi="宋体" w:eastAsia="宋体" w:cs="宋体"/>
          <w:color w:val="000000"/>
          <w:sz w:val="24"/>
          <w:szCs w:val="24"/>
          <w:highlight w:val="none"/>
          <w:u w:val="single"/>
        </w:rPr>
        <w:t xml:space="preserve">                        </w:t>
      </w:r>
    </w:p>
    <w:p>
      <w:pPr>
        <w:pageBreakBefore w:val="0"/>
        <w:tabs>
          <w:tab w:val="left" w:pos="900"/>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投标人代表（签字）：</w:t>
      </w:r>
      <w:r>
        <w:rPr>
          <w:rFonts w:hint="eastAsia" w:ascii="宋体" w:hAnsi="宋体" w:eastAsia="宋体" w:cs="宋体"/>
          <w:color w:val="000000"/>
          <w:sz w:val="24"/>
          <w:szCs w:val="24"/>
          <w:highlight w:val="none"/>
          <w:u w:val="single"/>
        </w:rPr>
        <w:t xml:space="preserve">                                  </w:t>
      </w:r>
    </w:p>
    <w:p>
      <w:pPr>
        <w:pageBreakBefore w:val="0"/>
        <w:tabs>
          <w:tab w:val="left" w:pos="900"/>
        </w:tabs>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             期：</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b/>
          <w:color w:val="000000"/>
          <w:sz w:val="24"/>
          <w:szCs w:val="24"/>
          <w:highlight w:val="none"/>
        </w:rPr>
      </w:pPr>
    </w:p>
    <w:p>
      <w:pPr>
        <w:pageBreakBefore w:val="0"/>
        <w:kinsoku/>
        <w:overflowPunct/>
        <w:topLinePunct w:val="0"/>
        <w:autoSpaceDE/>
        <w:autoSpaceDN/>
        <w:bidi w:val="0"/>
        <w:adjustRightInd/>
        <w:spacing w:beforeAutospacing="0" w:afterAutospacing="0" w:line="360" w:lineRule="auto"/>
        <w:textAlignment w:val="auto"/>
        <w:outlineLvl w:val="9"/>
        <w:rPr>
          <w:rFonts w:hint="eastAsia" w:ascii="宋体" w:hAnsi="宋体" w:eastAsia="宋体" w:cs="宋体"/>
          <w:sz w:val="24"/>
          <w:szCs w:val="24"/>
          <w:highlight w:val="none"/>
        </w:rPr>
      </w:pPr>
    </w:p>
    <w:p>
      <w:pPr>
        <w:keepNext w:val="0"/>
        <w:keepLines w:val="0"/>
        <w:pageBreakBefore w:val="0"/>
        <w:kinsoku/>
        <w:overflowPunct/>
        <w:autoSpaceDE/>
        <w:autoSpaceDN/>
        <w:bidi w:val="0"/>
        <w:spacing w:line="360" w:lineRule="auto"/>
        <w:ind w:firstLine="2650" w:firstLineChars="1100"/>
        <w:textAlignment w:val="auto"/>
        <w:outlineLvl w:val="9"/>
        <w:rPr>
          <w:rFonts w:hint="eastAsia" w:ascii="宋体" w:hAnsi="宋体" w:eastAsia="宋体" w:cs="宋体"/>
          <w:b/>
          <w:bCs/>
          <w:color w:val="auto"/>
          <w:sz w:val="24"/>
          <w:highlight w:val="none"/>
          <w:u w:val="single"/>
          <w:lang w:val="en-US" w:eastAsia="zh-CN"/>
        </w:rPr>
      </w:pPr>
    </w:p>
    <w:sectPr>
      <w:footerReference r:id="rId15" w:type="first"/>
      <w:footerReference r:id="rId14" w:type="default"/>
      <w:pgSz w:w="11905" w:h="16838"/>
      <w:pgMar w:top="1417" w:right="1417" w:bottom="964" w:left="1474" w:header="794" w:footer="73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HYg2gj">
    <w:altName w:val="MS Gothic"/>
    <w:panose1 w:val="00000000000000000000"/>
    <w:charset w:val="80"/>
    <w:family w:val="auto"/>
    <w:pitch w:val="default"/>
    <w:sig w:usb0="00000000" w:usb1="00000000" w:usb2="00000010" w:usb3="00000000" w:csb0="00060000" w:csb1="00000000"/>
  </w:font>
  <w:font w:name="Dotum">
    <w:panose1 w:val="020B0600000101010101"/>
    <w:charset w:val="81"/>
    <w:family w:val="swiss"/>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fldChar w:fldCharType="begin"/>
    </w:r>
    <w:r>
      <w:rPr>
        <w:rStyle w:val="44"/>
      </w:rPr>
      <w:instrText xml:space="preserve">PAGE  </w:instrText>
    </w:r>
    <w:r>
      <w:fldChar w:fldCharType="separate"/>
    </w:r>
    <w:r>
      <w:rPr>
        <w:rStyle w:val="44"/>
      </w:rPr>
      <w:t>30</w:t>
    </w:r>
    <w: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right"/>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MJj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W8wmPsQEA&#10;AE4DAAAOAAAAAAAAAAEAIAAAAB4BAABkcnMvZTJvRG9jLnhtbFBLBQYAAAAABgAGAFkBAABBBQAA&#10;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zFnFLEBAABO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39TInjFke0f3rc/3rZPz+QaTU7z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fMWcUsQEA&#10;AE4DAAAOAAAAAAAAAAEAIAAAAB4BAABkcnMvZTJvRG9jLnhtbFBLBQYAAAAABgAGAFkBAABBBQAA&#10;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PVj7A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yh7lehBudglJFG65&#10;wgl2LIxDK+rGBctb8fe9ZL38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nj1Y+wAQAA&#10;TgMAAA4AAAAAAAAAAQAgAAAAHgEAAGRycy9lMm9Eb2MueG1sUEsFBgAAAAAGAAYAWQEAAEAFAAAA&#10;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D74FF"/>
    <w:multiLevelType w:val="singleLevel"/>
    <w:tmpl w:val="AE1D74FF"/>
    <w:lvl w:ilvl="0" w:tentative="0">
      <w:start w:val="1"/>
      <w:numFmt w:val="chineseCounting"/>
      <w:suff w:val="nothing"/>
      <w:lvlText w:val="%1、"/>
      <w:lvlJc w:val="left"/>
      <w:rPr>
        <w:rFonts w:hint="eastAsia"/>
      </w:rPr>
    </w:lvl>
  </w:abstractNum>
  <w:abstractNum w:abstractNumId="1">
    <w:nsid w:val="F1FA0FED"/>
    <w:multiLevelType w:val="singleLevel"/>
    <w:tmpl w:val="F1FA0FED"/>
    <w:lvl w:ilvl="0" w:tentative="0">
      <w:start w:val="1"/>
      <w:numFmt w:val="decimal"/>
      <w:lvlText w:val="%1."/>
      <w:lvlJc w:val="left"/>
      <w:pPr>
        <w:tabs>
          <w:tab w:val="left" w:pos="312"/>
        </w:tabs>
      </w:pPr>
    </w:lvl>
  </w:abstractNum>
  <w:abstractNum w:abstractNumId="2">
    <w:nsid w:val="138B1347"/>
    <w:multiLevelType w:val="singleLevel"/>
    <w:tmpl w:val="138B1347"/>
    <w:lvl w:ilvl="0" w:tentative="0">
      <w:start w:val="1"/>
      <w:numFmt w:val="decimal"/>
      <w:suff w:val="nothing"/>
      <w:lvlText w:val="%1、"/>
      <w:lvlJc w:val="left"/>
    </w:lvl>
  </w:abstractNum>
  <w:abstractNum w:abstractNumId="3">
    <w:nsid w:val="17141AB3"/>
    <w:multiLevelType w:val="multilevel"/>
    <w:tmpl w:val="17141AB3"/>
    <w:lvl w:ilvl="0" w:tentative="0">
      <w:start w:val="3"/>
      <w:numFmt w:val="japaneseCounting"/>
      <w:lvlText w:val="第%1章"/>
      <w:lvlJc w:val="left"/>
      <w:pPr>
        <w:tabs>
          <w:tab w:val="left" w:pos="2025"/>
        </w:tabs>
        <w:ind w:left="2025" w:hanging="1455"/>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4">
    <w:nsid w:val="5A27D9E8"/>
    <w:multiLevelType w:val="singleLevel"/>
    <w:tmpl w:val="5A27D9E8"/>
    <w:lvl w:ilvl="0" w:tentative="0">
      <w:start w:val="2"/>
      <w:numFmt w:val="chineseCounting"/>
      <w:suff w:val="nothing"/>
      <w:lvlText w:val="%1、"/>
      <w:lvlJc w:val="left"/>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29"/>
      <w:suff w:val="nothing"/>
      <w:lvlText w:val="%1%2.%3　"/>
      <w:lvlJc w:val="left"/>
      <w:pPr>
        <w:ind w:left="425" w:firstLine="0"/>
      </w:pPr>
      <w:rPr>
        <w:rFonts w:hint="eastAsia" w:ascii="黑体" w:hAnsi="Times New Roman" w:eastAsia="黑体"/>
        <w:b w:val="0"/>
        <w:i w:val="0"/>
        <w:sz w:val="21"/>
      </w:rPr>
    </w:lvl>
    <w:lvl w:ilvl="3" w:tentative="0">
      <w:start w:val="1"/>
      <w:numFmt w:val="decimal"/>
      <w:pStyle w:val="228"/>
      <w:suff w:val="nothing"/>
      <w:lvlText w:val="%1%2.%3.%4　"/>
      <w:lvlJc w:val="left"/>
      <w:pPr>
        <w:ind w:left="426"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21F68E5"/>
    <w:multiLevelType w:val="singleLevel"/>
    <w:tmpl w:val="721F68E5"/>
    <w:lvl w:ilvl="0" w:tentative="0">
      <w:start w:val="1"/>
      <w:numFmt w:val="chineseCounting"/>
      <w:suff w:val="nothing"/>
      <w:lvlText w:val="%1、"/>
      <w:lvlJc w:val="left"/>
      <w:rPr>
        <w:rFonts w:hint="eastAsia"/>
      </w:rPr>
    </w:lvl>
  </w:abstractNum>
  <w:abstractNum w:abstractNumId="7">
    <w:nsid w:val="76933334"/>
    <w:multiLevelType w:val="multilevel"/>
    <w:tmpl w:val="76933334"/>
    <w:lvl w:ilvl="0" w:tentative="0">
      <w:start w:val="1"/>
      <w:numFmt w:val="none"/>
      <w:pStyle w:val="22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5"/>
  </w:num>
  <w:num w:numId="3">
    <w:abstractNumId w:val="3"/>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91"/>
    <w:rsid w:val="0000376C"/>
    <w:rsid w:val="00003B61"/>
    <w:rsid w:val="00003EAD"/>
    <w:rsid w:val="00004004"/>
    <w:rsid w:val="000045F2"/>
    <w:rsid w:val="0000580F"/>
    <w:rsid w:val="00006460"/>
    <w:rsid w:val="00006830"/>
    <w:rsid w:val="00007C1D"/>
    <w:rsid w:val="000108D4"/>
    <w:rsid w:val="00010F18"/>
    <w:rsid w:val="00012F5E"/>
    <w:rsid w:val="0001366F"/>
    <w:rsid w:val="0001368B"/>
    <w:rsid w:val="00014B7B"/>
    <w:rsid w:val="00016128"/>
    <w:rsid w:val="00016186"/>
    <w:rsid w:val="000161A7"/>
    <w:rsid w:val="000169A3"/>
    <w:rsid w:val="00017154"/>
    <w:rsid w:val="000178D3"/>
    <w:rsid w:val="00020256"/>
    <w:rsid w:val="0002224F"/>
    <w:rsid w:val="00023E8B"/>
    <w:rsid w:val="00024451"/>
    <w:rsid w:val="000258CC"/>
    <w:rsid w:val="00026248"/>
    <w:rsid w:val="00027CA5"/>
    <w:rsid w:val="000302D0"/>
    <w:rsid w:val="0003077A"/>
    <w:rsid w:val="000307EE"/>
    <w:rsid w:val="00030A85"/>
    <w:rsid w:val="00030B1E"/>
    <w:rsid w:val="00030EB2"/>
    <w:rsid w:val="00031B9D"/>
    <w:rsid w:val="00032B8E"/>
    <w:rsid w:val="00033EA6"/>
    <w:rsid w:val="000345FD"/>
    <w:rsid w:val="00035909"/>
    <w:rsid w:val="00042A35"/>
    <w:rsid w:val="00042B25"/>
    <w:rsid w:val="00044EA1"/>
    <w:rsid w:val="0004575A"/>
    <w:rsid w:val="00045799"/>
    <w:rsid w:val="00046372"/>
    <w:rsid w:val="0004660A"/>
    <w:rsid w:val="00050BD4"/>
    <w:rsid w:val="0005134B"/>
    <w:rsid w:val="00051E34"/>
    <w:rsid w:val="000522AB"/>
    <w:rsid w:val="000546F0"/>
    <w:rsid w:val="00054726"/>
    <w:rsid w:val="00055CC5"/>
    <w:rsid w:val="00057670"/>
    <w:rsid w:val="0006056C"/>
    <w:rsid w:val="00060AFE"/>
    <w:rsid w:val="00060B0B"/>
    <w:rsid w:val="0006574C"/>
    <w:rsid w:val="00065876"/>
    <w:rsid w:val="00065FD9"/>
    <w:rsid w:val="0006675C"/>
    <w:rsid w:val="000670EF"/>
    <w:rsid w:val="00067305"/>
    <w:rsid w:val="00070619"/>
    <w:rsid w:val="00070A71"/>
    <w:rsid w:val="00070C9C"/>
    <w:rsid w:val="00071A40"/>
    <w:rsid w:val="00072493"/>
    <w:rsid w:val="00072514"/>
    <w:rsid w:val="00072B37"/>
    <w:rsid w:val="00072C3D"/>
    <w:rsid w:val="00073488"/>
    <w:rsid w:val="000738B0"/>
    <w:rsid w:val="00074A79"/>
    <w:rsid w:val="0007697E"/>
    <w:rsid w:val="00084314"/>
    <w:rsid w:val="000848E1"/>
    <w:rsid w:val="000850EE"/>
    <w:rsid w:val="00085F9B"/>
    <w:rsid w:val="00086608"/>
    <w:rsid w:val="0008666A"/>
    <w:rsid w:val="0009025F"/>
    <w:rsid w:val="000929F1"/>
    <w:rsid w:val="000932A8"/>
    <w:rsid w:val="000936C2"/>
    <w:rsid w:val="00093FAD"/>
    <w:rsid w:val="00094537"/>
    <w:rsid w:val="00094DB3"/>
    <w:rsid w:val="00095610"/>
    <w:rsid w:val="00095B92"/>
    <w:rsid w:val="00097043"/>
    <w:rsid w:val="000971A3"/>
    <w:rsid w:val="000971E8"/>
    <w:rsid w:val="000977CE"/>
    <w:rsid w:val="000979FF"/>
    <w:rsid w:val="000A0CDD"/>
    <w:rsid w:val="000A10D4"/>
    <w:rsid w:val="000A1D40"/>
    <w:rsid w:val="000A45B5"/>
    <w:rsid w:val="000A5A91"/>
    <w:rsid w:val="000A601D"/>
    <w:rsid w:val="000A720D"/>
    <w:rsid w:val="000B066D"/>
    <w:rsid w:val="000B13AF"/>
    <w:rsid w:val="000B158C"/>
    <w:rsid w:val="000B3578"/>
    <w:rsid w:val="000B3CC3"/>
    <w:rsid w:val="000B3DF3"/>
    <w:rsid w:val="000B62A2"/>
    <w:rsid w:val="000B7ACE"/>
    <w:rsid w:val="000C16C8"/>
    <w:rsid w:val="000C213B"/>
    <w:rsid w:val="000C3123"/>
    <w:rsid w:val="000C3245"/>
    <w:rsid w:val="000C3C3C"/>
    <w:rsid w:val="000C4D1C"/>
    <w:rsid w:val="000C5EDB"/>
    <w:rsid w:val="000C60AB"/>
    <w:rsid w:val="000C7AF0"/>
    <w:rsid w:val="000D0178"/>
    <w:rsid w:val="000D0191"/>
    <w:rsid w:val="000D06D4"/>
    <w:rsid w:val="000D0DFF"/>
    <w:rsid w:val="000D17ED"/>
    <w:rsid w:val="000D1956"/>
    <w:rsid w:val="000D2F39"/>
    <w:rsid w:val="000D3814"/>
    <w:rsid w:val="000D4FAE"/>
    <w:rsid w:val="000D6391"/>
    <w:rsid w:val="000D70AE"/>
    <w:rsid w:val="000D77D1"/>
    <w:rsid w:val="000D7EBA"/>
    <w:rsid w:val="000D7FCA"/>
    <w:rsid w:val="000E12E7"/>
    <w:rsid w:val="000E12FD"/>
    <w:rsid w:val="000E1A66"/>
    <w:rsid w:val="000E1AD0"/>
    <w:rsid w:val="000E1D80"/>
    <w:rsid w:val="000E27E3"/>
    <w:rsid w:val="000E2B38"/>
    <w:rsid w:val="000E3628"/>
    <w:rsid w:val="000E3C68"/>
    <w:rsid w:val="000E46C0"/>
    <w:rsid w:val="000E4796"/>
    <w:rsid w:val="000E7459"/>
    <w:rsid w:val="000E7A7B"/>
    <w:rsid w:val="000E7D3A"/>
    <w:rsid w:val="000E7E75"/>
    <w:rsid w:val="000F048A"/>
    <w:rsid w:val="000F2B34"/>
    <w:rsid w:val="000F2EFE"/>
    <w:rsid w:val="000F3BDF"/>
    <w:rsid w:val="000F41F4"/>
    <w:rsid w:val="000F4808"/>
    <w:rsid w:val="000F5B2F"/>
    <w:rsid w:val="000F6A53"/>
    <w:rsid w:val="000F7104"/>
    <w:rsid w:val="000F7508"/>
    <w:rsid w:val="000F7738"/>
    <w:rsid w:val="000F79CB"/>
    <w:rsid w:val="00101856"/>
    <w:rsid w:val="00102021"/>
    <w:rsid w:val="00103AE2"/>
    <w:rsid w:val="001068C7"/>
    <w:rsid w:val="001069D6"/>
    <w:rsid w:val="001071DF"/>
    <w:rsid w:val="0010774E"/>
    <w:rsid w:val="001078B2"/>
    <w:rsid w:val="00107B2E"/>
    <w:rsid w:val="00110120"/>
    <w:rsid w:val="001105C6"/>
    <w:rsid w:val="0011190C"/>
    <w:rsid w:val="0011211A"/>
    <w:rsid w:val="00112FC4"/>
    <w:rsid w:val="00113595"/>
    <w:rsid w:val="00113957"/>
    <w:rsid w:val="00113D3F"/>
    <w:rsid w:val="00113ED0"/>
    <w:rsid w:val="00113FD2"/>
    <w:rsid w:val="0011443D"/>
    <w:rsid w:val="00116C00"/>
    <w:rsid w:val="00122155"/>
    <w:rsid w:val="001230D5"/>
    <w:rsid w:val="00124D6C"/>
    <w:rsid w:val="00125665"/>
    <w:rsid w:val="00125683"/>
    <w:rsid w:val="00126BC4"/>
    <w:rsid w:val="0012795E"/>
    <w:rsid w:val="0013191D"/>
    <w:rsid w:val="001324F0"/>
    <w:rsid w:val="00133B06"/>
    <w:rsid w:val="00133FC5"/>
    <w:rsid w:val="00134817"/>
    <w:rsid w:val="00134CB6"/>
    <w:rsid w:val="00135772"/>
    <w:rsid w:val="001359B2"/>
    <w:rsid w:val="001363D4"/>
    <w:rsid w:val="001376B7"/>
    <w:rsid w:val="00137EF5"/>
    <w:rsid w:val="00141C0D"/>
    <w:rsid w:val="00141F6F"/>
    <w:rsid w:val="0014203D"/>
    <w:rsid w:val="00142239"/>
    <w:rsid w:val="0014224D"/>
    <w:rsid w:val="00142DFB"/>
    <w:rsid w:val="00143BF5"/>
    <w:rsid w:val="0014493F"/>
    <w:rsid w:val="00144A6A"/>
    <w:rsid w:val="00145EAE"/>
    <w:rsid w:val="00146C35"/>
    <w:rsid w:val="001518FB"/>
    <w:rsid w:val="00151D06"/>
    <w:rsid w:val="00151DE8"/>
    <w:rsid w:val="0015276F"/>
    <w:rsid w:val="00152CD4"/>
    <w:rsid w:val="001563A7"/>
    <w:rsid w:val="00156657"/>
    <w:rsid w:val="001566D6"/>
    <w:rsid w:val="00156D83"/>
    <w:rsid w:val="00157333"/>
    <w:rsid w:val="00160207"/>
    <w:rsid w:val="00160D5E"/>
    <w:rsid w:val="00160FB9"/>
    <w:rsid w:val="0016141F"/>
    <w:rsid w:val="00162ABD"/>
    <w:rsid w:val="00162F08"/>
    <w:rsid w:val="00163981"/>
    <w:rsid w:val="00163A22"/>
    <w:rsid w:val="00164242"/>
    <w:rsid w:val="00164338"/>
    <w:rsid w:val="00164E91"/>
    <w:rsid w:val="0016668B"/>
    <w:rsid w:val="00167A25"/>
    <w:rsid w:val="00167BE4"/>
    <w:rsid w:val="001701BE"/>
    <w:rsid w:val="001708EF"/>
    <w:rsid w:val="001710DC"/>
    <w:rsid w:val="001712FC"/>
    <w:rsid w:val="00171D3F"/>
    <w:rsid w:val="00172711"/>
    <w:rsid w:val="00173D59"/>
    <w:rsid w:val="00174607"/>
    <w:rsid w:val="00175120"/>
    <w:rsid w:val="00175BDF"/>
    <w:rsid w:val="0017615E"/>
    <w:rsid w:val="00176172"/>
    <w:rsid w:val="00176A8D"/>
    <w:rsid w:val="00177E11"/>
    <w:rsid w:val="00180E4B"/>
    <w:rsid w:val="00181FBC"/>
    <w:rsid w:val="0018370A"/>
    <w:rsid w:val="00183852"/>
    <w:rsid w:val="00184FDD"/>
    <w:rsid w:val="0018557B"/>
    <w:rsid w:val="00185CD9"/>
    <w:rsid w:val="00185E3A"/>
    <w:rsid w:val="001868EF"/>
    <w:rsid w:val="00186929"/>
    <w:rsid w:val="00187848"/>
    <w:rsid w:val="001900CA"/>
    <w:rsid w:val="00190F6B"/>
    <w:rsid w:val="00190FFD"/>
    <w:rsid w:val="0019182B"/>
    <w:rsid w:val="00191EDF"/>
    <w:rsid w:val="00192197"/>
    <w:rsid w:val="00192403"/>
    <w:rsid w:val="0019288F"/>
    <w:rsid w:val="00195237"/>
    <w:rsid w:val="001955D7"/>
    <w:rsid w:val="00195BCC"/>
    <w:rsid w:val="00196389"/>
    <w:rsid w:val="00196739"/>
    <w:rsid w:val="00197439"/>
    <w:rsid w:val="001A027E"/>
    <w:rsid w:val="001A0321"/>
    <w:rsid w:val="001A0931"/>
    <w:rsid w:val="001A1DF2"/>
    <w:rsid w:val="001A1E81"/>
    <w:rsid w:val="001A1EEB"/>
    <w:rsid w:val="001A2ECE"/>
    <w:rsid w:val="001A375F"/>
    <w:rsid w:val="001A3B14"/>
    <w:rsid w:val="001A3F13"/>
    <w:rsid w:val="001A50A7"/>
    <w:rsid w:val="001A674D"/>
    <w:rsid w:val="001A7EB8"/>
    <w:rsid w:val="001B06EC"/>
    <w:rsid w:val="001B1541"/>
    <w:rsid w:val="001B15A6"/>
    <w:rsid w:val="001B21A4"/>
    <w:rsid w:val="001B2C8E"/>
    <w:rsid w:val="001B2E43"/>
    <w:rsid w:val="001B2EEA"/>
    <w:rsid w:val="001B2F62"/>
    <w:rsid w:val="001B3DA6"/>
    <w:rsid w:val="001B458F"/>
    <w:rsid w:val="001B469D"/>
    <w:rsid w:val="001B46C6"/>
    <w:rsid w:val="001B4907"/>
    <w:rsid w:val="001B56B3"/>
    <w:rsid w:val="001B5972"/>
    <w:rsid w:val="001B655C"/>
    <w:rsid w:val="001B7195"/>
    <w:rsid w:val="001C0014"/>
    <w:rsid w:val="001C16E8"/>
    <w:rsid w:val="001C17F3"/>
    <w:rsid w:val="001C28D5"/>
    <w:rsid w:val="001C2E62"/>
    <w:rsid w:val="001C304B"/>
    <w:rsid w:val="001C3650"/>
    <w:rsid w:val="001C385B"/>
    <w:rsid w:val="001C393E"/>
    <w:rsid w:val="001C399B"/>
    <w:rsid w:val="001C4BC6"/>
    <w:rsid w:val="001C5BD7"/>
    <w:rsid w:val="001C6FE3"/>
    <w:rsid w:val="001C72E4"/>
    <w:rsid w:val="001C7C23"/>
    <w:rsid w:val="001D04C4"/>
    <w:rsid w:val="001D1277"/>
    <w:rsid w:val="001D23DF"/>
    <w:rsid w:val="001D264E"/>
    <w:rsid w:val="001D2E3D"/>
    <w:rsid w:val="001D3E85"/>
    <w:rsid w:val="001D3E94"/>
    <w:rsid w:val="001D4CA0"/>
    <w:rsid w:val="001D5383"/>
    <w:rsid w:val="001D5A9F"/>
    <w:rsid w:val="001D6A20"/>
    <w:rsid w:val="001D71DF"/>
    <w:rsid w:val="001D7881"/>
    <w:rsid w:val="001E076D"/>
    <w:rsid w:val="001E11D7"/>
    <w:rsid w:val="001E1391"/>
    <w:rsid w:val="001E2958"/>
    <w:rsid w:val="001E2D93"/>
    <w:rsid w:val="001E325B"/>
    <w:rsid w:val="001E400C"/>
    <w:rsid w:val="001E45C5"/>
    <w:rsid w:val="001E4B8A"/>
    <w:rsid w:val="001E52B0"/>
    <w:rsid w:val="001E53A6"/>
    <w:rsid w:val="001E574D"/>
    <w:rsid w:val="001E6A6B"/>
    <w:rsid w:val="001E793C"/>
    <w:rsid w:val="001E7BF0"/>
    <w:rsid w:val="001F01E9"/>
    <w:rsid w:val="001F186D"/>
    <w:rsid w:val="001F1F52"/>
    <w:rsid w:val="001F2D4D"/>
    <w:rsid w:val="001F3236"/>
    <w:rsid w:val="001F3AFF"/>
    <w:rsid w:val="001F4BD6"/>
    <w:rsid w:val="001F7158"/>
    <w:rsid w:val="00200134"/>
    <w:rsid w:val="0020026D"/>
    <w:rsid w:val="002007D0"/>
    <w:rsid w:val="00200DFB"/>
    <w:rsid w:val="00202340"/>
    <w:rsid w:val="002023B6"/>
    <w:rsid w:val="002025C6"/>
    <w:rsid w:val="00202C5D"/>
    <w:rsid w:val="00204119"/>
    <w:rsid w:val="00204D85"/>
    <w:rsid w:val="00205215"/>
    <w:rsid w:val="00206E6B"/>
    <w:rsid w:val="00207BAB"/>
    <w:rsid w:val="0021030E"/>
    <w:rsid w:val="00214174"/>
    <w:rsid w:val="00214D70"/>
    <w:rsid w:val="00215185"/>
    <w:rsid w:val="002151B3"/>
    <w:rsid w:val="00215865"/>
    <w:rsid w:val="00215C5E"/>
    <w:rsid w:val="0021601A"/>
    <w:rsid w:val="00216030"/>
    <w:rsid w:val="00216242"/>
    <w:rsid w:val="00217029"/>
    <w:rsid w:val="00217172"/>
    <w:rsid w:val="00217860"/>
    <w:rsid w:val="00217FC5"/>
    <w:rsid w:val="00221ADA"/>
    <w:rsid w:val="00222CFD"/>
    <w:rsid w:val="00223417"/>
    <w:rsid w:val="002237BD"/>
    <w:rsid w:val="00223879"/>
    <w:rsid w:val="00223A6F"/>
    <w:rsid w:val="00226174"/>
    <w:rsid w:val="00226556"/>
    <w:rsid w:val="00226C3E"/>
    <w:rsid w:val="00226D23"/>
    <w:rsid w:val="00226FF1"/>
    <w:rsid w:val="0022706D"/>
    <w:rsid w:val="002270A5"/>
    <w:rsid w:val="002303A7"/>
    <w:rsid w:val="002327A1"/>
    <w:rsid w:val="00232859"/>
    <w:rsid w:val="0023401F"/>
    <w:rsid w:val="00234F45"/>
    <w:rsid w:val="002364AB"/>
    <w:rsid w:val="0024048F"/>
    <w:rsid w:val="002405AE"/>
    <w:rsid w:val="00241887"/>
    <w:rsid w:val="00241DF8"/>
    <w:rsid w:val="002425B0"/>
    <w:rsid w:val="00242D70"/>
    <w:rsid w:val="00243933"/>
    <w:rsid w:val="002441DF"/>
    <w:rsid w:val="00244272"/>
    <w:rsid w:val="00244339"/>
    <w:rsid w:val="00246191"/>
    <w:rsid w:val="0024670B"/>
    <w:rsid w:val="00247246"/>
    <w:rsid w:val="002473F4"/>
    <w:rsid w:val="00247683"/>
    <w:rsid w:val="00250B29"/>
    <w:rsid w:val="00251B97"/>
    <w:rsid w:val="00252345"/>
    <w:rsid w:val="00253183"/>
    <w:rsid w:val="00254D62"/>
    <w:rsid w:val="00254DDE"/>
    <w:rsid w:val="00254E48"/>
    <w:rsid w:val="00254F42"/>
    <w:rsid w:val="00255D6A"/>
    <w:rsid w:val="00257C1D"/>
    <w:rsid w:val="00260202"/>
    <w:rsid w:val="00260E89"/>
    <w:rsid w:val="00262A88"/>
    <w:rsid w:val="00264968"/>
    <w:rsid w:val="002652DF"/>
    <w:rsid w:val="0026565D"/>
    <w:rsid w:val="0026611C"/>
    <w:rsid w:val="00267C19"/>
    <w:rsid w:val="002701B8"/>
    <w:rsid w:val="00271021"/>
    <w:rsid w:val="00271404"/>
    <w:rsid w:val="002725AB"/>
    <w:rsid w:val="00273215"/>
    <w:rsid w:val="00273F70"/>
    <w:rsid w:val="0027416C"/>
    <w:rsid w:val="00274E42"/>
    <w:rsid w:val="00275004"/>
    <w:rsid w:val="00277321"/>
    <w:rsid w:val="00277890"/>
    <w:rsid w:val="00280932"/>
    <w:rsid w:val="0028183C"/>
    <w:rsid w:val="00282672"/>
    <w:rsid w:val="00282B56"/>
    <w:rsid w:val="0028461C"/>
    <w:rsid w:val="00284D4A"/>
    <w:rsid w:val="0028618F"/>
    <w:rsid w:val="00287C11"/>
    <w:rsid w:val="0029186D"/>
    <w:rsid w:val="00292F60"/>
    <w:rsid w:val="00293C5C"/>
    <w:rsid w:val="0029420E"/>
    <w:rsid w:val="002945F8"/>
    <w:rsid w:val="00294E99"/>
    <w:rsid w:val="002953F0"/>
    <w:rsid w:val="0029647B"/>
    <w:rsid w:val="002974D4"/>
    <w:rsid w:val="002976FE"/>
    <w:rsid w:val="002A08FA"/>
    <w:rsid w:val="002A1826"/>
    <w:rsid w:val="002A1CD9"/>
    <w:rsid w:val="002A1DE2"/>
    <w:rsid w:val="002A39B4"/>
    <w:rsid w:val="002A4087"/>
    <w:rsid w:val="002A4B45"/>
    <w:rsid w:val="002A4E43"/>
    <w:rsid w:val="002A52EE"/>
    <w:rsid w:val="002A59BF"/>
    <w:rsid w:val="002A6440"/>
    <w:rsid w:val="002A6DBD"/>
    <w:rsid w:val="002A71B6"/>
    <w:rsid w:val="002A7E03"/>
    <w:rsid w:val="002A7FF4"/>
    <w:rsid w:val="002B056C"/>
    <w:rsid w:val="002B0739"/>
    <w:rsid w:val="002B185B"/>
    <w:rsid w:val="002B29F2"/>
    <w:rsid w:val="002B2D64"/>
    <w:rsid w:val="002B493D"/>
    <w:rsid w:val="002B4EC9"/>
    <w:rsid w:val="002B59F5"/>
    <w:rsid w:val="002B65F6"/>
    <w:rsid w:val="002B6F25"/>
    <w:rsid w:val="002B74C8"/>
    <w:rsid w:val="002B78FF"/>
    <w:rsid w:val="002B7B9B"/>
    <w:rsid w:val="002B7ECF"/>
    <w:rsid w:val="002C0995"/>
    <w:rsid w:val="002C20B6"/>
    <w:rsid w:val="002C2562"/>
    <w:rsid w:val="002C3600"/>
    <w:rsid w:val="002C39D2"/>
    <w:rsid w:val="002C61B4"/>
    <w:rsid w:val="002C732A"/>
    <w:rsid w:val="002D07AF"/>
    <w:rsid w:val="002D17EC"/>
    <w:rsid w:val="002D18CB"/>
    <w:rsid w:val="002D2D60"/>
    <w:rsid w:val="002D2F91"/>
    <w:rsid w:val="002D360C"/>
    <w:rsid w:val="002D3C3B"/>
    <w:rsid w:val="002D45E1"/>
    <w:rsid w:val="002D634E"/>
    <w:rsid w:val="002D6614"/>
    <w:rsid w:val="002D74FE"/>
    <w:rsid w:val="002D78E9"/>
    <w:rsid w:val="002E1954"/>
    <w:rsid w:val="002E237D"/>
    <w:rsid w:val="002E2D07"/>
    <w:rsid w:val="002E2DC3"/>
    <w:rsid w:val="002E3E74"/>
    <w:rsid w:val="002E4296"/>
    <w:rsid w:val="002E5B5F"/>
    <w:rsid w:val="002E5C1A"/>
    <w:rsid w:val="002E6999"/>
    <w:rsid w:val="002E6A78"/>
    <w:rsid w:val="002E7F24"/>
    <w:rsid w:val="002F0673"/>
    <w:rsid w:val="002F07F1"/>
    <w:rsid w:val="002F0DA5"/>
    <w:rsid w:val="002F0E86"/>
    <w:rsid w:val="002F163D"/>
    <w:rsid w:val="002F2AB9"/>
    <w:rsid w:val="002F2E19"/>
    <w:rsid w:val="002F347B"/>
    <w:rsid w:val="002F560A"/>
    <w:rsid w:val="002F59B7"/>
    <w:rsid w:val="002F5ACC"/>
    <w:rsid w:val="002F62AB"/>
    <w:rsid w:val="002F72E4"/>
    <w:rsid w:val="002F7D76"/>
    <w:rsid w:val="003000A1"/>
    <w:rsid w:val="003006AF"/>
    <w:rsid w:val="00300D39"/>
    <w:rsid w:val="00302616"/>
    <w:rsid w:val="00303559"/>
    <w:rsid w:val="003039E1"/>
    <w:rsid w:val="003054E8"/>
    <w:rsid w:val="003077EB"/>
    <w:rsid w:val="00311812"/>
    <w:rsid w:val="003118D8"/>
    <w:rsid w:val="00312969"/>
    <w:rsid w:val="00312B78"/>
    <w:rsid w:val="003135B3"/>
    <w:rsid w:val="003137BC"/>
    <w:rsid w:val="003142A9"/>
    <w:rsid w:val="00315663"/>
    <w:rsid w:val="00315795"/>
    <w:rsid w:val="00315B78"/>
    <w:rsid w:val="00317032"/>
    <w:rsid w:val="003177A4"/>
    <w:rsid w:val="003177F7"/>
    <w:rsid w:val="00317DA1"/>
    <w:rsid w:val="00320603"/>
    <w:rsid w:val="00320D5D"/>
    <w:rsid w:val="00323141"/>
    <w:rsid w:val="00323547"/>
    <w:rsid w:val="00323CE8"/>
    <w:rsid w:val="00324551"/>
    <w:rsid w:val="00324D20"/>
    <w:rsid w:val="00324DD0"/>
    <w:rsid w:val="00325BEA"/>
    <w:rsid w:val="003266A4"/>
    <w:rsid w:val="00326C56"/>
    <w:rsid w:val="00326CB0"/>
    <w:rsid w:val="00327C07"/>
    <w:rsid w:val="00332089"/>
    <w:rsid w:val="003325F6"/>
    <w:rsid w:val="00333F44"/>
    <w:rsid w:val="00334573"/>
    <w:rsid w:val="00336CC4"/>
    <w:rsid w:val="00337183"/>
    <w:rsid w:val="0033732F"/>
    <w:rsid w:val="00337BA9"/>
    <w:rsid w:val="003411A9"/>
    <w:rsid w:val="00341542"/>
    <w:rsid w:val="003427AE"/>
    <w:rsid w:val="00343A47"/>
    <w:rsid w:val="00343AF3"/>
    <w:rsid w:val="00343B2D"/>
    <w:rsid w:val="00343BB4"/>
    <w:rsid w:val="00343EF4"/>
    <w:rsid w:val="00345984"/>
    <w:rsid w:val="003471BD"/>
    <w:rsid w:val="0035054A"/>
    <w:rsid w:val="00350CCC"/>
    <w:rsid w:val="00351460"/>
    <w:rsid w:val="003515E2"/>
    <w:rsid w:val="00351BF2"/>
    <w:rsid w:val="00351D96"/>
    <w:rsid w:val="003535C1"/>
    <w:rsid w:val="00353F00"/>
    <w:rsid w:val="00354FF9"/>
    <w:rsid w:val="00355A65"/>
    <w:rsid w:val="00357E21"/>
    <w:rsid w:val="00361EB9"/>
    <w:rsid w:val="00362D6F"/>
    <w:rsid w:val="0036353E"/>
    <w:rsid w:val="0036478E"/>
    <w:rsid w:val="00364BFB"/>
    <w:rsid w:val="00367001"/>
    <w:rsid w:val="00367363"/>
    <w:rsid w:val="00371DD7"/>
    <w:rsid w:val="00372B39"/>
    <w:rsid w:val="003757C0"/>
    <w:rsid w:val="003768CB"/>
    <w:rsid w:val="0037703A"/>
    <w:rsid w:val="0037705D"/>
    <w:rsid w:val="00377547"/>
    <w:rsid w:val="00380FA6"/>
    <w:rsid w:val="0038149A"/>
    <w:rsid w:val="00381D15"/>
    <w:rsid w:val="00382434"/>
    <w:rsid w:val="00382720"/>
    <w:rsid w:val="003828A6"/>
    <w:rsid w:val="003838FA"/>
    <w:rsid w:val="0038501D"/>
    <w:rsid w:val="003864AB"/>
    <w:rsid w:val="00386D16"/>
    <w:rsid w:val="00387DC6"/>
    <w:rsid w:val="0039150E"/>
    <w:rsid w:val="0039154D"/>
    <w:rsid w:val="003935D8"/>
    <w:rsid w:val="00393C64"/>
    <w:rsid w:val="00393CE7"/>
    <w:rsid w:val="00394518"/>
    <w:rsid w:val="00394636"/>
    <w:rsid w:val="0039494D"/>
    <w:rsid w:val="00394F7C"/>
    <w:rsid w:val="00394FF0"/>
    <w:rsid w:val="00395301"/>
    <w:rsid w:val="0039571D"/>
    <w:rsid w:val="00395E5B"/>
    <w:rsid w:val="0039729B"/>
    <w:rsid w:val="00397D5C"/>
    <w:rsid w:val="003A3E71"/>
    <w:rsid w:val="003A631E"/>
    <w:rsid w:val="003A6607"/>
    <w:rsid w:val="003A6C86"/>
    <w:rsid w:val="003A780C"/>
    <w:rsid w:val="003A7B6A"/>
    <w:rsid w:val="003B1BF5"/>
    <w:rsid w:val="003B2217"/>
    <w:rsid w:val="003B44C9"/>
    <w:rsid w:val="003B4D42"/>
    <w:rsid w:val="003B5F03"/>
    <w:rsid w:val="003B6679"/>
    <w:rsid w:val="003C0579"/>
    <w:rsid w:val="003C0DF0"/>
    <w:rsid w:val="003C1387"/>
    <w:rsid w:val="003C1696"/>
    <w:rsid w:val="003C26F9"/>
    <w:rsid w:val="003C37C1"/>
    <w:rsid w:val="003C4596"/>
    <w:rsid w:val="003C4B6E"/>
    <w:rsid w:val="003C4B86"/>
    <w:rsid w:val="003C4E63"/>
    <w:rsid w:val="003C585E"/>
    <w:rsid w:val="003C5FD9"/>
    <w:rsid w:val="003C6F87"/>
    <w:rsid w:val="003C7A89"/>
    <w:rsid w:val="003D0427"/>
    <w:rsid w:val="003D1980"/>
    <w:rsid w:val="003D348E"/>
    <w:rsid w:val="003D400B"/>
    <w:rsid w:val="003D47C2"/>
    <w:rsid w:val="003D4CF6"/>
    <w:rsid w:val="003D5FEB"/>
    <w:rsid w:val="003D631D"/>
    <w:rsid w:val="003D7331"/>
    <w:rsid w:val="003D7F5F"/>
    <w:rsid w:val="003E03B7"/>
    <w:rsid w:val="003E133E"/>
    <w:rsid w:val="003E17E9"/>
    <w:rsid w:val="003E19E8"/>
    <w:rsid w:val="003E1E55"/>
    <w:rsid w:val="003E38B9"/>
    <w:rsid w:val="003E50B3"/>
    <w:rsid w:val="003E7A86"/>
    <w:rsid w:val="003F0120"/>
    <w:rsid w:val="003F05E4"/>
    <w:rsid w:val="003F1968"/>
    <w:rsid w:val="003F2A91"/>
    <w:rsid w:val="003F3124"/>
    <w:rsid w:val="003F3841"/>
    <w:rsid w:val="003F4F7B"/>
    <w:rsid w:val="003F5235"/>
    <w:rsid w:val="003F6AE1"/>
    <w:rsid w:val="003F71D9"/>
    <w:rsid w:val="003F7B7E"/>
    <w:rsid w:val="003F7C0E"/>
    <w:rsid w:val="003F7DF6"/>
    <w:rsid w:val="00400044"/>
    <w:rsid w:val="00400450"/>
    <w:rsid w:val="004005B3"/>
    <w:rsid w:val="00400950"/>
    <w:rsid w:val="004009B2"/>
    <w:rsid w:val="00400A4A"/>
    <w:rsid w:val="0040132D"/>
    <w:rsid w:val="00402092"/>
    <w:rsid w:val="004027D3"/>
    <w:rsid w:val="004043C0"/>
    <w:rsid w:val="00404526"/>
    <w:rsid w:val="00405B69"/>
    <w:rsid w:val="00411421"/>
    <w:rsid w:val="00412269"/>
    <w:rsid w:val="004130C4"/>
    <w:rsid w:val="004139CD"/>
    <w:rsid w:val="0041499A"/>
    <w:rsid w:val="00415099"/>
    <w:rsid w:val="00415555"/>
    <w:rsid w:val="00416A3C"/>
    <w:rsid w:val="0041744E"/>
    <w:rsid w:val="00417884"/>
    <w:rsid w:val="004178B1"/>
    <w:rsid w:val="00420AF4"/>
    <w:rsid w:val="00421653"/>
    <w:rsid w:val="00422BBB"/>
    <w:rsid w:val="00423B6D"/>
    <w:rsid w:val="0042583F"/>
    <w:rsid w:val="00430128"/>
    <w:rsid w:val="0043100E"/>
    <w:rsid w:val="00433F74"/>
    <w:rsid w:val="00434E3E"/>
    <w:rsid w:val="004355EA"/>
    <w:rsid w:val="00435771"/>
    <w:rsid w:val="004362D8"/>
    <w:rsid w:val="00436356"/>
    <w:rsid w:val="00441259"/>
    <w:rsid w:val="0044151B"/>
    <w:rsid w:val="004415E6"/>
    <w:rsid w:val="00441E1B"/>
    <w:rsid w:val="00442548"/>
    <w:rsid w:val="00442B96"/>
    <w:rsid w:val="004436B9"/>
    <w:rsid w:val="00446A24"/>
    <w:rsid w:val="004478FF"/>
    <w:rsid w:val="0044792C"/>
    <w:rsid w:val="00451A85"/>
    <w:rsid w:val="00454C81"/>
    <w:rsid w:val="004550EA"/>
    <w:rsid w:val="004552AF"/>
    <w:rsid w:val="00455474"/>
    <w:rsid w:val="00455E79"/>
    <w:rsid w:val="00456027"/>
    <w:rsid w:val="00457AD8"/>
    <w:rsid w:val="00460144"/>
    <w:rsid w:val="00460E89"/>
    <w:rsid w:val="00462CFE"/>
    <w:rsid w:val="004638AC"/>
    <w:rsid w:val="00465807"/>
    <w:rsid w:val="0046616E"/>
    <w:rsid w:val="00466D8A"/>
    <w:rsid w:val="00470297"/>
    <w:rsid w:val="00470BEB"/>
    <w:rsid w:val="0047118A"/>
    <w:rsid w:val="00472011"/>
    <w:rsid w:val="00472471"/>
    <w:rsid w:val="00472CE9"/>
    <w:rsid w:val="00473613"/>
    <w:rsid w:val="00473848"/>
    <w:rsid w:val="00474A95"/>
    <w:rsid w:val="004751C1"/>
    <w:rsid w:val="00476C4A"/>
    <w:rsid w:val="00477B6A"/>
    <w:rsid w:val="00480A79"/>
    <w:rsid w:val="00481803"/>
    <w:rsid w:val="004822ED"/>
    <w:rsid w:val="00483FD1"/>
    <w:rsid w:val="00484E4C"/>
    <w:rsid w:val="00485152"/>
    <w:rsid w:val="0048571E"/>
    <w:rsid w:val="0048714E"/>
    <w:rsid w:val="004904F3"/>
    <w:rsid w:val="004908D0"/>
    <w:rsid w:val="00490F0E"/>
    <w:rsid w:val="00493ADC"/>
    <w:rsid w:val="00496EBE"/>
    <w:rsid w:val="0049790E"/>
    <w:rsid w:val="00497F7F"/>
    <w:rsid w:val="004A28FE"/>
    <w:rsid w:val="004A29EE"/>
    <w:rsid w:val="004A335D"/>
    <w:rsid w:val="004A47CF"/>
    <w:rsid w:val="004A4F82"/>
    <w:rsid w:val="004A4FAE"/>
    <w:rsid w:val="004A619E"/>
    <w:rsid w:val="004A643B"/>
    <w:rsid w:val="004A68B1"/>
    <w:rsid w:val="004A6947"/>
    <w:rsid w:val="004A7284"/>
    <w:rsid w:val="004A7A94"/>
    <w:rsid w:val="004A7AC8"/>
    <w:rsid w:val="004B160D"/>
    <w:rsid w:val="004B1FE9"/>
    <w:rsid w:val="004B2044"/>
    <w:rsid w:val="004B2436"/>
    <w:rsid w:val="004B25CE"/>
    <w:rsid w:val="004B2718"/>
    <w:rsid w:val="004B472C"/>
    <w:rsid w:val="004B47E3"/>
    <w:rsid w:val="004B5396"/>
    <w:rsid w:val="004B7B7A"/>
    <w:rsid w:val="004B7E4D"/>
    <w:rsid w:val="004C09B1"/>
    <w:rsid w:val="004C1579"/>
    <w:rsid w:val="004C1A68"/>
    <w:rsid w:val="004C386F"/>
    <w:rsid w:val="004C3948"/>
    <w:rsid w:val="004C59E3"/>
    <w:rsid w:val="004C6360"/>
    <w:rsid w:val="004C7B08"/>
    <w:rsid w:val="004D070B"/>
    <w:rsid w:val="004D15A1"/>
    <w:rsid w:val="004D1799"/>
    <w:rsid w:val="004D28FD"/>
    <w:rsid w:val="004D2927"/>
    <w:rsid w:val="004D2BEB"/>
    <w:rsid w:val="004D2BEC"/>
    <w:rsid w:val="004D45E5"/>
    <w:rsid w:val="004D63EB"/>
    <w:rsid w:val="004D6DAF"/>
    <w:rsid w:val="004D6E39"/>
    <w:rsid w:val="004D7C88"/>
    <w:rsid w:val="004E0C43"/>
    <w:rsid w:val="004E168A"/>
    <w:rsid w:val="004E22B7"/>
    <w:rsid w:val="004E255B"/>
    <w:rsid w:val="004E2594"/>
    <w:rsid w:val="004E5B82"/>
    <w:rsid w:val="004E6085"/>
    <w:rsid w:val="004E6F51"/>
    <w:rsid w:val="004E7CCF"/>
    <w:rsid w:val="004F02C9"/>
    <w:rsid w:val="004F0E12"/>
    <w:rsid w:val="004F1647"/>
    <w:rsid w:val="004F1990"/>
    <w:rsid w:val="004F25A1"/>
    <w:rsid w:val="004F2DA8"/>
    <w:rsid w:val="004F4309"/>
    <w:rsid w:val="004F4E18"/>
    <w:rsid w:val="004F5C7E"/>
    <w:rsid w:val="004F65E4"/>
    <w:rsid w:val="004F7656"/>
    <w:rsid w:val="005002F2"/>
    <w:rsid w:val="0050069C"/>
    <w:rsid w:val="00500781"/>
    <w:rsid w:val="0050119A"/>
    <w:rsid w:val="005015AB"/>
    <w:rsid w:val="0050197D"/>
    <w:rsid w:val="00501D39"/>
    <w:rsid w:val="00501DB3"/>
    <w:rsid w:val="005022E1"/>
    <w:rsid w:val="0050551B"/>
    <w:rsid w:val="00506582"/>
    <w:rsid w:val="0050738A"/>
    <w:rsid w:val="00507433"/>
    <w:rsid w:val="00507566"/>
    <w:rsid w:val="00507BD9"/>
    <w:rsid w:val="00507F2C"/>
    <w:rsid w:val="00510643"/>
    <w:rsid w:val="005106B0"/>
    <w:rsid w:val="005109A3"/>
    <w:rsid w:val="005109CB"/>
    <w:rsid w:val="0051161C"/>
    <w:rsid w:val="00511CF4"/>
    <w:rsid w:val="00512CAE"/>
    <w:rsid w:val="00512D27"/>
    <w:rsid w:val="005202E2"/>
    <w:rsid w:val="00521048"/>
    <w:rsid w:val="005211A9"/>
    <w:rsid w:val="00523756"/>
    <w:rsid w:val="00523D19"/>
    <w:rsid w:val="00523E38"/>
    <w:rsid w:val="00524C67"/>
    <w:rsid w:val="00525F60"/>
    <w:rsid w:val="0052745D"/>
    <w:rsid w:val="005274B1"/>
    <w:rsid w:val="00527BDE"/>
    <w:rsid w:val="005310CA"/>
    <w:rsid w:val="00531428"/>
    <w:rsid w:val="00531503"/>
    <w:rsid w:val="005320F2"/>
    <w:rsid w:val="00532780"/>
    <w:rsid w:val="00534269"/>
    <w:rsid w:val="00534CE1"/>
    <w:rsid w:val="00534EA9"/>
    <w:rsid w:val="00535569"/>
    <w:rsid w:val="00535A53"/>
    <w:rsid w:val="00536273"/>
    <w:rsid w:val="005368C5"/>
    <w:rsid w:val="00536ACD"/>
    <w:rsid w:val="00536EBD"/>
    <w:rsid w:val="0053781C"/>
    <w:rsid w:val="00537EF2"/>
    <w:rsid w:val="00537FF6"/>
    <w:rsid w:val="00540A86"/>
    <w:rsid w:val="00540D3E"/>
    <w:rsid w:val="005416FB"/>
    <w:rsid w:val="0054175A"/>
    <w:rsid w:val="00542B16"/>
    <w:rsid w:val="00542C5F"/>
    <w:rsid w:val="00543729"/>
    <w:rsid w:val="00543AFD"/>
    <w:rsid w:val="005466C3"/>
    <w:rsid w:val="00546D24"/>
    <w:rsid w:val="00547537"/>
    <w:rsid w:val="00547AEB"/>
    <w:rsid w:val="00547F02"/>
    <w:rsid w:val="005516A3"/>
    <w:rsid w:val="00551B41"/>
    <w:rsid w:val="00552177"/>
    <w:rsid w:val="005529DF"/>
    <w:rsid w:val="00554660"/>
    <w:rsid w:val="00555239"/>
    <w:rsid w:val="00555683"/>
    <w:rsid w:val="00555952"/>
    <w:rsid w:val="00555988"/>
    <w:rsid w:val="00555F70"/>
    <w:rsid w:val="005564B1"/>
    <w:rsid w:val="00560547"/>
    <w:rsid w:val="00560AB8"/>
    <w:rsid w:val="00560E70"/>
    <w:rsid w:val="00561AD0"/>
    <w:rsid w:val="00561E84"/>
    <w:rsid w:val="00562C25"/>
    <w:rsid w:val="00562E21"/>
    <w:rsid w:val="005641F3"/>
    <w:rsid w:val="0056471C"/>
    <w:rsid w:val="00565EE6"/>
    <w:rsid w:val="0056726E"/>
    <w:rsid w:val="0057058A"/>
    <w:rsid w:val="0057190B"/>
    <w:rsid w:val="00572815"/>
    <w:rsid w:val="00572F5B"/>
    <w:rsid w:val="00573E6A"/>
    <w:rsid w:val="005740A9"/>
    <w:rsid w:val="00574A75"/>
    <w:rsid w:val="00574B78"/>
    <w:rsid w:val="00575BFA"/>
    <w:rsid w:val="00576037"/>
    <w:rsid w:val="005762EA"/>
    <w:rsid w:val="00576DB3"/>
    <w:rsid w:val="00580712"/>
    <w:rsid w:val="00581FEB"/>
    <w:rsid w:val="00581FF0"/>
    <w:rsid w:val="0058300F"/>
    <w:rsid w:val="00584420"/>
    <w:rsid w:val="005855D9"/>
    <w:rsid w:val="00585E4B"/>
    <w:rsid w:val="005862E0"/>
    <w:rsid w:val="00586428"/>
    <w:rsid w:val="00590D43"/>
    <w:rsid w:val="00591E69"/>
    <w:rsid w:val="00591FB0"/>
    <w:rsid w:val="0059240C"/>
    <w:rsid w:val="00592C17"/>
    <w:rsid w:val="0059467B"/>
    <w:rsid w:val="00596DC7"/>
    <w:rsid w:val="00597238"/>
    <w:rsid w:val="0059724B"/>
    <w:rsid w:val="00597E19"/>
    <w:rsid w:val="005A02BA"/>
    <w:rsid w:val="005A1596"/>
    <w:rsid w:val="005A2585"/>
    <w:rsid w:val="005A25B8"/>
    <w:rsid w:val="005A2B68"/>
    <w:rsid w:val="005A35AB"/>
    <w:rsid w:val="005A363E"/>
    <w:rsid w:val="005A494B"/>
    <w:rsid w:val="005A5991"/>
    <w:rsid w:val="005A619C"/>
    <w:rsid w:val="005A6D59"/>
    <w:rsid w:val="005A736B"/>
    <w:rsid w:val="005A7BB0"/>
    <w:rsid w:val="005A7F7E"/>
    <w:rsid w:val="005B2FA4"/>
    <w:rsid w:val="005B328F"/>
    <w:rsid w:val="005B32FC"/>
    <w:rsid w:val="005B447B"/>
    <w:rsid w:val="005B60B4"/>
    <w:rsid w:val="005B7D80"/>
    <w:rsid w:val="005C09C6"/>
    <w:rsid w:val="005C0A24"/>
    <w:rsid w:val="005C4A69"/>
    <w:rsid w:val="005C507C"/>
    <w:rsid w:val="005C5622"/>
    <w:rsid w:val="005C5848"/>
    <w:rsid w:val="005C5F9F"/>
    <w:rsid w:val="005C610A"/>
    <w:rsid w:val="005C6209"/>
    <w:rsid w:val="005C735C"/>
    <w:rsid w:val="005D0191"/>
    <w:rsid w:val="005D1279"/>
    <w:rsid w:val="005D2B7F"/>
    <w:rsid w:val="005D2FC4"/>
    <w:rsid w:val="005D5C63"/>
    <w:rsid w:val="005D5E70"/>
    <w:rsid w:val="005D6263"/>
    <w:rsid w:val="005D6E48"/>
    <w:rsid w:val="005E1182"/>
    <w:rsid w:val="005E1645"/>
    <w:rsid w:val="005E1D6D"/>
    <w:rsid w:val="005E4845"/>
    <w:rsid w:val="005E5D00"/>
    <w:rsid w:val="005E6657"/>
    <w:rsid w:val="005E6B49"/>
    <w:rsid w:val="005F073B"/>
    <w:rsid w:val="005F0DA9"/>
    <w:rsid w:val="005F1664"/>
    <w:rsid w:val="005F2F9B"/>
    <w:rsid w:val="005F3072"/>
    <w:rsid w:val="005F35E0"/>
    <w:rsid w:val="005F3D91"/>
    <w:rsid w:val="005F40A7"/>
    <w:rsid w:val="005F48DC"/>
    <w:rsid w:val="005F547A"/>
    <w:rsid w:val="005F6308"/>
    <w:rsid w:val="005F66F8"/>
    <w:rsid w:val="005F77B8"/>
    <w:rsid w:val="00600133"/>
    <w:rsid w:val="006001D2"/>
    <w:rsid w:val="00601950"/>
    <w:rsid w:val="00601BB5"/>
    <w:rsid w:val="00601CEC"/>
    <w:rsid w:val="00601DB8"/>
    <w:rsid w:val="0060232C"/>
    <w:rsid w:val="0060294C"/>
    <w:rsid w:val="00603199"/>
    <w:rsid w:val="0060434A"/>
    <w:rsid w:val="006053E7"/>
    <w:rsid w:val="00605636"/>
    <w:rsid w:val="00607A0B"/>
    <w:rsid w:val="00607FED"/>
    <w:rsid w:val="0061016A"/>
    <w:rsid w:val="0061089B"/>
    <w:rsid w:val="00610BA4"/>
    <w:rsid w:val="00610BC7"/>
    <w:rsid w:val="00611F4B"/>
    <w:rsid w:val="00612B97"/>
    <w:rsid w:val="00612C66"/>
    <w:rsid w:val="006135AE"/>
    <w:rsid w:val="006141B2"/>
    <w:rsid w:val="0061481B"/>
    <w:rsid w:val="00616DA3"/>
    <w:rsid w:val="0061737D"/>
    <w:rsid w:val="00617B77"/>
    <w:rsid w:val="006200CC"/>
    <w:rsid w:val="006207FC"/>
    <w:rsid w:val="0062137A"/>
    <w:rsid w:val="00621DCD"/>
    <w:rsid w:val="0062284B"/>
    <w:rsid w:val="006236EC"/>
    <w:rsid w:val="00623C8B"/>
    <w:rsid w:val="00623E82"/>
    <w:rsid w:val="00624A46"/>
    <w:rsid w:val="006268F0"/>
    <w:rsid w:val="00626E80"/>
    <w:rsid w:val="00627A5B"/>
    <w:rsid w:val="006300EF"/>
    <w:rsid w:val="0063072C"/>
    <w:rsid w:val="006315AA"/>
    <w:rsid w:val="00631A5A"/>
    <w:rsid w:val="00632115"/>
    <w:rsid w:val="006344A7"/>
    <w:rsid w:val="00635353"/>
    <w:rsid w:val="006365CF"/>
    <w:rsid w:val="00636A83"/>
    <w:rsid w:val="00640874"/>
    <w:rsid w:val="00640E1E"/>
    <w:rsid w:val="00641494"/>
    <w:rsid w:val="00641AC6"/>
    <w:rsid w:val="00642AC7"/>
    <w:rsid w:val="0064453F"/>
    <w:rsid w:val="0064505B"/>
    <w:rsid w:val="006454F7"/>
    <w:rsid w:val="00645C46"/>
    <w:rsid w:val="00645E9E"/>
    <w:rsid w:val="006462CA"/>
    <w:rsid w:val="006467E7"/>
    <w:rsid w:val="00646A34"/>
    <w:rsid w:val="00646BE8"/>
    <w:rsid w:val="00646F93"/>
    <w:rsid w:val="00650912"/>
    <w:rsid w:val="00650F42"/>
    <w:rsid w:val="00651160"/>
    <w:rsid w:val="006527D8"/>
    <w:rsid w:val="006546B3"/>
    <w:rsid w:val="006559A8"/>
    <w:rsid w:val="00656092"/>
    <w:rsid w:val="006563D7"/>
    <w:rsid w:val="00656449"/>
    <w:rsid w:val="00656B31"/>
    <w:rsid w:val="00657797"/>
    <w:rsid w:val="00657962"/>
    <w:rsid w:val="00660552"/>
    <w:rsid w:val="00660C15"/>
    <w:rsid w:val="00661DA9"/>
    <w:rsid w:val="006634C6"/>
    <w:rsid w:val="006642E5"/>
    <w:rsid w:val="00665AD2"/>
    <w:rsid w:val="00666811"/>
    <w:rsid w:val="00666978"/>
    <w:rsid w:val="006673DA"/>
    <w:rsid w:val="00667938"/>
    <w:rsid w:val="00667983"/>
    <w:rsid w:val="00670C10"/>
    <w:rsid w:val="0067196B"/>
    <w:rsid w:val="00673265"/>
    <w:rsid w:val="0067345E"/>
    <w:rsid w:val="0067395F"/>
    <w:rsid w:val="00675F15"/>
    <w:rsid w:val="00676FD3"/>
    <w:rsid w:val="00677428"/>
    <w:rsid w:val="006774C9"/>
    <w:rsid w:val="00677CCA"/>
    <w:rsid w:val="00677F56"/>
    <w:rsid w:val="00680448"/>
    <w:rsid w:val="00680DAE"/>
    <w:rsid w:val="00681E33"/>
    <w:rsid w:val="00682340"/>
    <w:rsid w:val="006823CA"/>
    <w:rsid w:val="00682543"/>
    <w:rsid w:val="0068259C"/>
    <w:rsid w:val="00682B09"/>
    <w:rsid w:val="00682B56"/>
    <w:rsid w:val="00682C7A"/>
    <w:rsid w:val="00682D31"/>
    <w:rsid w:val="00682E70"/>
    <w:rsid w:val="00682FE9"/>
    <w:rsid w:val="006831C5"/>
    <w:rsid w:val="0068362C"/>
    <w:rsid w:val="00683A7A"/>
    <w:rsid w:val="00683B42"/>
    <w:rsid w:val="006840B2"/>
    <w:rsid w:val="0068472B"/>
    <w:rsid w:val="00686B7B"/>
    <w:rsid w:val="0069058C"/>
    <w:rsid w:val="006921D7"/>
    <w:rsid w:val="0069352B"/>
    <w:rsid w:val="00696DAF"/>
    <w:rsid w:val="00697F95"/>
    <w:rsid w:val="006A0068"/>
    <w:rsid w:val="006A0371"/>
    <w:rsid w:val="006A1A5F"/>
    <w:rsid w:val="006A1E30"/>
    <w:rsid w:val="006A3310"/>
    <w:rsid w:val="006A33CE"/>
    <w:rsid w:val="006A4B45"/>
    <w:rsid w:val="006A5538"/>
    <w:rsid w:val="006A571F"/>
    <w:rsid w:val="006A67C5"/>
    <w:rsid w:val="006B1AC5"/>
    <w:rsid w:val="006B243B"/>
    <w:rsid w:val="006B2827"/>
    <w:rsid w:val="006B326D"/>
    <w:rsid w:val="006B3290"/>
    <w:rsid w:val="006B380A"/>
    <w:rsid w:val="006B53CD"/>
    <w:rsid w:val="006B57CB"/>
    <w:rsid w:val="006B5D46"/>
    <w:rsid w:val="006B6F19"/>
    <w:rsid w:val="006B7407"/>
    <w:rsid w:val="006B74D7"/>
    <w:rsid w:val="006B7F44"/>
    <w:rsid w:val="006C0490"/>
    <w:rsid w:val="006C0DA0"/>
    <w:rsid w:val="006C1793"/>
    <w:rsid w:val="006C2035"/>
    <w:rsid w:val="006C4D96"/>
    <w:rsid w:val="006C5A2F"/>
    <w:rsid w:val="006C6932"/>
    <w:rsid w:val="006C693B"/>
    <w:rsid w:val="006C6D0A"/>
    <w:rsid w:val="006C794B"/>
    <w:rsid w:val="006C7A6E"/>
    <w:rsid w:val="006D0822"/>
    <w:rsid w:val="006D15C9"/>
    <w:rsid w:val="006D18A3"/>
    <w:rsid w:val="006D24C3"/>
    <w:rsid w:val="006D2890"/>
    <w:rsid w:val="006D2CAC"/>
    <w:rsid w:val="006D334A"/>
    <w:rsid w:val="006D5F5E"/>
    <w:rsid w:val="006D600B"/>
    <w:rsid w:val="006D6A09"/>
    <w:rsid w:val="006D6BC4"/>
    <w:rsid w:val="006D6D59"/>
    <w:rsid w:val="006D72E2"/>
    <w:rsid w:val="006D7D56"/>
    <w:rsid w:val="006E1CA0"/>
    <w:rsid w:val="006E490D"/>
    <w:rsid w:val="006E57C0"/>
    <w:rsid w:val="006E6F9D"/>
    <w:rsid w:val="006E746E"/>
    <w:rsid w:val="006E7822"/>
    <w:rsid w:val="006F04E6"/>
    <w:rsid w:val="006F138A"/>
    <w:rsid w:val="006F2CC6"/>
    <w:rsid w:val="006F307E"/>
    <w:rsid w:val="006F3091"/>
    <w:rsid w:val="006F3237"/>
    <w:rsid w:val="006F3F3D"/>
    <w:rsid w:val="006F4B08"/>
    <w:rsid w:val="006F5153"/>
    <w:rsid w:val="006F6CC5"/>
    <w:rsid w:val="006F72F4"/>
    <w:rsid w:val="006F7381"/>
    <w:rsid w:val="00700E00"/>
    <w:rsid w:val="00701103"/>
    <w:rsid w:val="00701947"/>
    <w:rsid w:val="00705C74"/>
    <w:rsid w:val="00705E9E"/>
    <w:rsid w:val="00707773"/>
    <w:rsid w:val="00707820"/>
    <w:rsid w:val="00710D46"/>
    <w:rsid w:val="007116E8"/>
    <w:rsid w:val="0071273F"/>
    <w:rsid w:val="00712F70"/>
    <w:rsid w:val="007153AF"/>
    <w:rsid w:val="00716766"/>
    <w:rsid w:val="007168B4"/>
    <w:rsid w:val="0071690C"/>
    <w:rsid w:val="00717233"/>
    <w:rsid w:val="007175E2"/>
    <w:rsid w:val="007219D3"/>
    <w:rsid w:val="007226A0"/>
    <w:rsid w:val="00722D5F"/>
    <w:rsid w:val="00723682"/>
    <w:rsid w:val="0072375E"/>
    <w:rsid w:val="0072423E"/>
    <w:rsid w:val="00724556"/>
    <w:rsid w:val="00724696"/>
    <w:rsid w:val="0072691E"/>
    <w:rsid w:val="00726F50"/>
    <w:rsid w:val="007301C1"/>
    <w:rsid w:val="007305EB"/>
    <w:rsid w:val="00731B90"/>
    <w:rsid w:val="00731CDC"/>
    <w:rsid w:val="0073225F"/>
    <w:rsid w:val="00732AE1"/>
    <w:rsid w:val="007339FE"/>
    <w:rsid w:val="00734971"/>
    <w:rsid w:val="00734977"/>
    <w:rsid w:val="00734D62"/>
    <w:rsid w:val="00734E6A"/>
    <w:rsid w:val="00735146"/>
    <w:rsid w:val="007351FE"/>
    <w:rsid w:val="00735886"/>
    <w:rsid w:val="00736E0A"/>
    <w:rsid w:val="00737655"/>
    <w:rsid w:val="007410E1"/>
    <w:rsid w:val="00745724"/>
    <w:rsid w:val="007473E9"/>
    <w:rsid w:val="00750A37"/>
    <w:rsid w:val="00751BB6"/>
    <w:rsid w:val="007524E2"/>
    <w:rsid w:val="007528B2"/>
    <w:rsid w:val="007532FE"/>
    <w:rsid w:val="007533A6"/>
    <w:rsid w:val="00753AD2"/>
    <w:rsid w:val="00754833"/>
    <w:rsid w:val="00755AB6"/>
    <w:rsid w:val="00756C84"/>
    <w:rsid w:val="00757032"/>
    <w:rsid w:val="00757137"/>
    <w:rsid w:val="00760B06"/>
    <w:rsid w:val="007612A9"/>
    <w:rsid w:val="00761C18"/>
    <w:rsid w:val="007621A7"/>
    <w:rsid w:val="00763343"/>
    <w:rsid w:val="00763890"/>
    <w:rsid w:val="007648BC"/>
    <w:rsid w:val="0076498F"/>
    <w:rsid w:val="00766D67"/>
    <w:rsid w:val="00767D19"/>
    <w:rsid w:val="007707D9"/>
    <w:rsid w:val="00770AAA"/>
    <w:rsid w:val="00770E9D"/>
    <w:rsid w:val="00771BDC"/>
    <w:rsid w:val="00773ADD"/>
    <w:rsid w:val="00773DD2"/>
    <w:rsid w:val="00776114"/>
    <w:rsid w:val="007778C6"/>
    <w:rsid w:val="00777934"/>
    <w:rsid w:val="0078006A"/>
    <w:rsid w:val="0078051D"/>
    <w:rsid w:val="0078270D"/>
    <w:rsid w:val="00782C97"/>
    <w:rsid w:val="00782DC5"/>
    <w:rsid w:val="00783980"/>
    <w:rsid w:val="007843CB"/>
    <w:rsid w:val="007854CF"/>
    <w:rsid w:val="00785954"/>
    <w:rsid w:val="00786192"/>
    <w:rsid w:val="00786444"/>
    <w:rsid w:val="00786D8D"/>
    <w:rsid w:val="0078741E"/>
    <w:rsid w:val="00787D30"/>
    <w:rsid w:val="00787F9A"/>
    <w:rsid w:val="00793698"/>
    <w:rsid w:val="0079373F"/>
    <w:rsid w:val="007939A4"/>
    <w:rsid w:val="007940C8"/>
    <w:rsid w:val="0079425E"/>
    <w:rsid w:val="0079459F"/>
    <w:rsid w:val="00794B83"/>
    <w:rsid w:val="0079574F"/>
    <w:rsid w:val="00795FAC"/>
    <w:rsid w:val="00797856"/>
    <w:rsid w:val="00797DB9"/>
    <w:rsid w:val="007A0E12"/>
    <w:rsid w:val="007A1944"/>
    <w:rsid w:val="007A28BB"/>
    <w:rsid w:val="007A29D9"/>
    <w:rsid w:val="007A6027"/>
    <w:rsid w:val="007A63D0"/>
    <w:rsid w:val="007A76AD"/>
    <w:rsid w:val="007A7B42"/>
    <w:rsid w:val="007B0BF0"/>
    <w:rsid w:val="007B0D72"/>
    <w:rsid w:val="007B133C"/>
    <w:rsid w:val="007B1CB2"/>
    <w:rsid w:val="007B20A7"/>
    <w:rsid w:val="007B231F"/>
    <w:rsid w:val="007B2511"/>
    <w:rsid w:val="007B2DDD"/>
    <w:rsid w:val="007B3040"/>
    <w:rsid w:val="007B413C"/>
    <w:rsid w:val="007B52CC"/>
    <w:rsid w:val="007B54E6"/>
    <w:rsid w:val="007B69A0"/>
    <w:rsid w:val="007B6F1F"/>
    <w:rsid w:val="007B77CA"/>
    <w:rsid w:val="007C00A6"/>
    <w:rsid w:val="007C128E"/>
    <w:rsid w:val="007C132A"/>
    <w:rsid w:val="007C2C69"/>
    <w:rsid w:val="007C2D2D"/>
    <w:rsid w:val="007C2D9D"/>
    <w:rsid w:val="007C3172"/>
    <w:rsid w:val="007C350A"/>
    <w:rsid w:val="007C39AF"/>
    <w:rsid w:val="007C441D"/>
    <w:rsid w:val="007C4F5D"/>
    <w:rsid w:val="007C5FD6"/>
    <w:rsid w:val="007C6007"/>
    <w:rsid w:val="007C7C47"/>
    <w:rsid w:val="007D039F"/>
    <w:rsid w:val="007D13CD"/>
    <w:rsid w:val="007D2706"/>
    <w:rsid w:val="007D317F"/>
    <w:rsid w:val="007D339E"/>
    <w:rsid w:val="007D3D6F"/>
    <w:rsid w:val="007D4167"/>
    <w:rsid w:val="007D4793"/>
    <w:rsid w:val="007D5964"/>
    <w:rsid w:val="007D67AD"/>
    <w:rsid w:val="007D757B"/>
    <w:rsid w:val="007D79CB"/>
    <w:rsid w:val="007E0A4D"/>
    <w:rsid w:val="007E1174"/>
    <w:rsid w:val="007E212A"/>
    <w:rsid w:val="007E2218"/>
    <w:rsid w:val="007E276C"/>
    <w:rsid w:val="007E379B"/>
    <w:rsid w:val="007E41B8"/>
    <w:rsid w:val="007E4811"/>
    <w:rsid w:val="007E5142"/>
    <w:rsid w:val="007E6301"/>
    <w:rsid w:val="007E6D05"/>
    <w:rsid w:val="007E6E54"/>
    <w:rsid w:val="007E6F35"/>
    <w:rsid w:val="007E79C1"/>
    <w:rsid w:val="007E7CBD"/>
    <w:rsid w:val="007E7CCE"/>
    <w:rsid w:val="007E7E6F"/>
    <w:rsid w:val="007F0048"/>
    <w:rsid w:val="007F03A7"/>
    <w:rsid w:val="007F081D"/>
    <w:rsid w:val="007F0D81"/>
    <w:rsid w:val="007F1121"/>
    <w:rsid w:val="007F2869"/>
    <w:rsid w:val="007F3B55"/>
    <w:rsid w:val="007F4150"/>
    <w:rsid w:val="007F41FC"/>
    <w:rsid w:val="007F4607"/>
    <w:rsid w:val="007F58F3"/>
    <w:rsid w:val="007F5D53"/>
    <w:rsid w:val="007F5F45"/>
    <w:rsid w:val="007F5FC1"/>
    <w:rsid w:val="007F60D2"/>
    <w:rsid w:val="007F70C4"/>
    <w:rsid w:val="007F7AAF"/>
    <w:rsid w:val="008009EB"/>
    <w:rsid w:val="00800DE9"/>
    <w:rsid w:val="0080148B"/>
    <w:rsid w:val="00801595"/>
    <w:rsid w:val="00801ED3"/>
    <w:rsid w:val="008033FE"/>
    <w:rsid w:val="008042D2"/>
    <w:rsid w:val="008045DD"/>
    <w:rsid w:val="00805E20"/>
    <w:rsid w:val="00806395"/>
    <w:rsid w:val="00806437"/>
    <w:rsid w:val="00806F6E"/>
    <w:rsid w:val="00807C0D"/>
    <w:rsid w:val="008108AE"/>
    <w:rsid w:val="008110EA"/>
    <w:rsid w:val="00811871"/>
    <w:rsid w:val="00811918"/>
    <w:rsid w:val="00812388"/>
    <w:rsid w:val="008148F9"/>
    <w:rsid w:val="00814CD6"/>
    <w:rsid w:val="00815273"/>
    <w:rsid w:val="008158F9"/>
    <w:rsid w:val="00815E57"/>
    <w:rsid w:val="00815EEA"/>
    <w:rsid w:val="008164F7"/>
    <w:rsid w:val="00816E96"/>
    <w:rsid w:val="00816F25"/>
    <w:rsid w:val="00817680"/>
    <w:rsid w:val="00817B06"/>
    <w:rsid w:val="00817B8C"/>
    <w:rsid w:val="00817CE7"/>
    <w:rsid w:val="0082130E"/>
    <w:rsid w:val="00821D0B"/>
    <w:rsid w:val="0082236A"/>
    <w:rsid w:val="008229EE"/>
    <w:rsid w:val="008231BF"/>
    <w:rsid w:val="008243A0"/>
    <w:rsid w:val="00824582"/>
    <w:rsid w:val="00824CB0"/>
    <w:rsid w:val="00824E0D"/>
    <w:rsid w:val="0082640F"/>
    <w:rsid w:val="00831DDF"/>
    <w:rsid w:val="00833B00"/>
    <w:rsid w:val="00835407"/>
    <w:rsid w:val="0083661B"/>
    <w:rsid w:val="008373B3"/>
    <w:rsid w:val="00837DD8"/>
    <w:rsid w:val="00840CA8"/>
    <w:rsid w:val="00840CF2"/>
    <w:rsid w:val="00840DA0"/>
    <w:rsid w:val="008416F8"/>
    <w:rsid w:val="00841942"/>
    <w:rsid w:val="008423FC"/>
    <w:rsid w:val="008437DF"/>
    <w:rsid w:val="00843B7D"/>
    <w:rsid w:val="00843D6D"/>
    <w:rsid w:val="00845706"/>
    <w:rsid w:val="00845E65"/>
    <w:rsid w:val="00846175"/>
    <w:rsid w:val="00846816"/>
    <w:rsid w:val="00846CA7"/>
    <w:rsid w:val="0084771A"/>
    <w:rsid w:val="00847DC9"/>
    <w:rsid w:val="0085158A"/>
    <w:rsid w:val="008529D4"/>
    <w:rsid w:val="008541DB"/>
    <w:rsid w:val="00855CDE"/>
    <w:rsid w:val="008566ED"/>
    <w:rsid w:val="00856B45"/>
    <w:rsid w:val="00857539"/>
    <w:rsid w:val="0086037E"/>
    <w:rsid w:val="00860474"/>
    <w:rsid w:val="00860782"/>
    <w:rsid w:val="00860B58"/>
    <w:rsid w:val="00861EFB"/>
    <w:rsid w:val="00861FFC"/>
    <w:rsid w:val="008624C8"/>
    <w:rsid w:val="008625BC"/>
    <w:rsid w:val="00863691"/>
    <w:rsid w:val="00864E13"/>
    <w:rsid w:val="00865B91"/>
    <w:rsid w:val="0086601D"/>
    <w:rsid w:val="0086661F"/>
    <w:rsid w:val="00866B9A"/>
    <w:rsid w:val="00866F8A"/>
    <w:rsid w:val="00867069"/>
    <w:rsid w:val="008677F4"/>
    <w:rsid w:val="008678C6"/>
    <w:rsid w:val="00870C48"/>
    <w:rsid w:val="00872031"/>
    <w:rsid w:val="00872F2C"/>
    <w:rsid w:val="0087314A"/>
    <w:rsid w:val="00873C2D"/>
    <w:rsid w:val="00874D8D"/>
    <w:rsid w:val="008756D4"/>
    <w:rsid w:val="0088116E"/>
    <w:rsid w:val="008814B6"/>
    <w:rsid w:val="00881E75"/>
    <w:rsid w:val="00884EDF"/>
    <w:rsid w:val="00884FE4"/>
    <w:rsid w:val="008858D7"/>
    <w:rsid w:val="00886BE4"/>
    <w:rsid w:val="00886D79"/>
    <w:rsid w:val="00886EFB"/>
    <w:rsid w:val="00887362"/>
    <w:rsid w:val="0089001A"/>
    <w:rsid w:val="008910B5"/>
    <w:rsid w:val="0089120A"/>
    <w:rsid w:val="00891395"/>
    <w:rsid w:val="00891454"/>
    <w:rsid w:val="008917E8"/>
    <w:rsid w:val="00891BF2"/>
    <w:rsid w:val="00891ECF"/>
    <w:rsid w:val="008920F0"/>
    <w:rsid w:val="008930EF"/>
    <w:rsid w:val="0089393A"/>
    <w:rsid w:val="00895C36"/>
    <w:rsid w:val="00896EC6"/>
    <w:rsid w:val="00897417"/>
    <w:rsid w:val="008976DE"/>
    <w:rsid w:val="0089773B"/>
    <w:rsid w:val="00897B7E"/>
    <w:rsid w:val="008A0099"/>
    <w:rsid w:val="008A038D"/>
    <w:rsid w:val="008A12B1"/>
    <w:rsid w:val="008A1779"/>
    <w:rsid w:val="008A1F97"/>
    <w:rsid w:val="008A239D"/>
    <w:rsid w:val="008A3225"/>
    <w:rsid w:val="008A3F2B"/>
    <w:rsid w:val="008A3F53"/>
    <w:rsid w:val="008A48B3"/>
    <w:rsid w:val="008A5853"/>
    <w:rsid w:val="008A5E23"/>
    <w:rsid w:val="008A7678"/>
    <w:rsid w:val="008B0561"/>
    <w:rsid w:val="008B077C"/>
    <w:rsid w:val="008B0A61"/>
    <w:rsid w:val="008B0FEA"/>
    <w:rsid w:val="008B103A"/>
    <w:rsid w:val="008B172F"/>
    <w:rsid w:val="008B1B6A"/>
    <w:rsid w:val="008B1BA4"/>
    <w:rsid w:val="008B1F7D"/>
    <w:rsid w:val="008B42C1"/>
    <w:rsid w:val="008B49F7"/>
    <w:rsid w:val="008B53D2"/>
    <w:rsid w:val="008B5EAA"/>
    <w:rsid w:val="008C0488"/>
    <w:rsid w:val="008C251C"/>
    <w:rsid w:val="008C36AA"/>
    <w:rsid w:val="008C3CA2"/>
    <w:rsid w:val="008C5347"/>
    <w:rsid w:val="008C68A4"/>
    <w:rsid w:val="008C7C0E"/>
    <w:rsid w:val="008D0218"/>
    <w:rsid w:val="008D14C2"/>
    <w:rsid w:val="008D417B"/>
    <w:rsid w:val="008D456B"/>
    <w:rsid w:val="008D4603"/>
    <w:rsid w:val="008D4774"/>
    <w:rsid w:val="008D4C10"/>
    <w:rsid w:val="008D5720"/>
    <w:rsid w:val="008D7432"/>
    <w:rsid w:val="008D750C"/>
    <w:rsid w:val="008D75C0"/>
    <w:rsid w:val="008E0B62"/>
    <w:rsid w:val="008E0C1D"/>
    <w:rsid w:val="008E0EFB"/>
    <w:rsid w:val="008E1398"/>
    <w:rsid w:val="008E1949"/>
    <w:rsid w:val="008E203E"/>
    <w:rsid w:val="008E2306"/>
    <w:rsid w:val="008E2558"/>
    <w:rsid w:val="008E35BB"/>
    <w:rsid w:val="008E3705"/>
    <w:rsid w:val="008E3CF8"/>
    <w:rsid w:val="008E41FF"/>
    <w:rsid w:val="008E42F0"/>
    <w:rsid w:val="008E4FDA"/>
    <w:rsid w:val="008E528B"/>
    <w:rsid w:val="008E6051"/>
    <w:rsid w:val="008E6D7B"/>
    <w:rsid w:val="008E7C7D"/>
    <w:rsid w:val="008F0052"/>
    <w:rsid w:val="008F0590"/>
    <w:rsid w:val="008F0858"/>
    <w:rsid w:val="008F0A8E"/>
    <w:rsid w:val="008F0E6B"/>
    <w:rsid w:val="008F1B1B"/>
    <w:rsid w:val="008F3007"/>
    <w:rsid w:val="008F6E2C"/>
    <w:rsid w:val="008F74EB"/>
    <w:rsid w:val="008F767D"/>
    <w:rsid w:val="008F7696"/>
    <w:rsid w:val="009006A6"/>
    <w:rsid w:val="009007C5"/>
    <w:rsid w:val="00900A10"/>
    <w:rsid w:val="009011FC"/>
    <w:rsid w:val="009019B6"/>
    <w:rsid w:val="00901B4C"/>
    <w:rsid w:val="009023D7"/>
    <w:rsid w:val="00903053"/>
    <w:rsid w:val="00903668"/>
    <w:rsid w:val="009043D4"/>
    <w:rsid w:val="0090492E"/>
    <w:rsid w:val="00904E25"/>
    <w:rsid w:val="009066FA"/>
    <w:rsid w:val="00906EBD"/>
    <w:rsid w:val="00913DF7"/>
    <w:rsid w:val="0091413B"/>
    <w:rsid w:val="009149B2"/>
    <w:rsid w:val="00914ACF"/>
    <w:rsid w:val="00915CA5"/>
    <w:rsid w:val="00917682"/>
    <w:rsid w:val="00920847"/>
    <w:rsid w:val="009214E8"/>
    <w:rsid w:val="00922967"/>
    <w:rsid w:val="00923260"/>
    <w:rsid w:val="009233CE"/>
    <w:rsid w:val="009234AA"/>
    <w:rsid w:val="0092427B"/>
    <w:rsid w:val="009250F2"/>
    <w:rsid w:val="00925786"/>
    <w:rsid w:val="00925BC5"/>
    <w:rsid w:val="0092692B"/>
    <w:rsid w:val="00926CEB"/>
    <w:rsid w:val="00926D24"/>
    <w:rsid w:val="00930EB8"/>
    <w:rsid w:val="009314E4"/>
    <w:rsid w:val="009319D1"/>
    <w:rsid w:val="009322DA"/>
    <w:rsid w:val="00933E11"/>
    <w:rsid w:val="0093548D"/>
    <w:rsid w:val="009374C3"/>
    <w:rsid w:val="00940316"/>
    <w:rsid w:val="0094039E"/>
    <w:rsid w:val="00940784"/>
    <w:rsid w:val="00941116"/>
    <w:rsid w:val="00941859"/>
    <w:rsid w:val="00941D89"/>
    <w:rsid w:val="009427BB"/>
    <w:rsid w:val="00942B5C"/>
    <w:rsid w:val="009434CE"/>
    <w:rsid w:val="009440C2"/>
    <w:rsid w:val="00944A5E"/>
    <w:rsid w:val="00945802"/>
    <w:rsid w:val="0094590C"/>
    <w:rsid w:val="00945FE7"/>
    <w:rsid w:val="00947068"/>
    <w:rsid w:val="00947B62"/>
    <w:rsid w:val="00950183"/>
    <w:rsid w:val="00950187"/>
    <w:rsid w:val="00951189"/>
    <w:rsid w:val="00951288"/>
    <w:rsid w:val="0095183F"/>
    <w:rsid w:val="00952D2F"/>
    <w:rsid w:val="00952D7D"/>
    <w:rsid w:val="00953BF4"/>
    <w:rsid w:val="00956CB8"/>
    <w:rsid w:val="009570AB"/>
    <w:rsid w:val="0095727A"/>
    <w:rsid w:val="00957533"/>
    <w:rsid w:val="00957F9E"/>
    <w:rsid w:val="00960C43"/>
    <w:rsid w:val="00962808"/>
    <w:rsid w:val="009643C6"/>
    <w:rsid w:val="00964D48"/>
    <w:rsid w:val="00965C14"/>
    <w:rsid w:val="009666C6"/>
    <w:rsid w:val="00966794"/>
    <w:rsid w:val="0096747B"/>
    <w:rsid w:val="00967A4D"/>
    <w:rsid w:val="0097021E"/>
    <w:rsid w:val="009715B2"/>
    <w:rsid w:val="00972C27"/>
    <w:rsid w:val="00973158"/>
    <w:rsid w:val="0097512B"/>
    <w:rsid w:val="009758E7"/>
    <w:rsid w:val="00975F6A"/>
    <w:rsid w:val="0097746B"/>
    <w:rsid w:val="009778E3"/>
    <w:rsid w:val="00981250"/>
    <w:rsid w:val="0098149C"/>
    <w:rsid w:val="00982A7B"/>
    <w:rsid w:val="00984269"/>
    <w:rsid w:val="00984D3D"/>
    <w:rsid w:val="0098689D"/>
    <w:rsid w:val="00987858"/>
    <w:rsid w:val="00992A28"/>
    <w:rsid w:val="0099392F"/>
    <w:rsid w:val="00993E81"/>
    <w:rsid w:val="00996AE9"/>
    <w:rsid w:val="00997611"/>
    <w:rsid w:val="009A0014"/>
    <w:rsid w:val="009A03E4"/>
    <w:rsid w:val="009A1462"/>
    <w:rsid w:val="009A1840"/>
    <w:rsid w:val="009A293D"/>
    <w:rsid w:val="009A2BD8"/>
    <w:rsid w:val="009A58FF"/>
    <w:rsid w:val="009A6495"/>
    <w:rsid w:val="009A6DB6"/>
    <w:rsid w:val="009A7F11"/>
    <w:rsid w:val="009B007C"/>
    <w:rsid w:val="009B032A"/>
    <w:rsid w:val="009B0B24"/>
    <w:rsid w:val="009B0FB7"/>
    <w:rsid w:val="009B1026"/>
    <w:rsid w:val="009B153B"/>
    <w:rsid w:val="009B28A0"/>
    <w:rsid w:val="009B38DC"/>
    <w:rsid w:val="009B40AE"/>
    <w:rsid w:val="009B4B27"/>
    <w:rsid w:val="009B55AF"/>
    <w:rsid w:val="009B5FEE"/>
    <w:rsid w:val="009B62C6"/>
    <w:rsid w:val="009B75EE"/>
    <w:rsid w:val="009C0472"/>
    <w:rsid w:val="009C0AD5"/>
    <w:rsid w:val="009C0B86"/>
    <w:rsid w:val="009C0FBD"/>
    <w:rsid w:val="009C28C1"/>
    <w:rsid w:val="009C50D1"/>
    <w:rsid w:val="009C54B8"/>
    <w:rsid w:val="009C56CD"/>
    <w:rsid w:val="009C56FF"/>
    <w:rsid w:val="009C5751"/>
    <w:rsid w:val="009C57E4"/>
    <w:rsid w:val="009C5D53"/>
    <w:rsid w:val="009C68F8"/>
    <w:rsid w:val="009C7722"/>
    <w:rsid w:val="009C7873"/>
    <w:rsid w:val="009C7C4E"/>
    <w:rsid w:val="009D0AF9"/>
    <w:rsid w:val="009D0C3B"/>
    <w:rsid w:val="009D23B1"/>
    <w:rsid w:val="009D26F1"/>
    <w:rsid w:val="009D37FA"/>
    <w:rsid w:val="009D5E0B"/>
    <w:rsid w:val="009D5EC9"/>
    <w:rsid w:val="009D6528"/>
    <w:rsid w:val="009D6853"/>
    <w:rsid w:val="009D6978"/>
    <w:rsid w:val="009D6B42"/>
    <w:rsid w:val="009D6E7F"/>
    <w:rsid w:val="009D6EB7"/>
    <w:rsid w:val="009D7F13"/>
    <w:rsid w:val="009E0546"/>
    <w:rsid w:val="009E0595"/>
    <w:rsid w:val="009E13E4"/>
    <w:rsid w:val="009E14D1"/>
    <w:rsid w:val="009E180B"/>
    <w:rsid w:val="009E1C4A"/>
    <w:rsid w:val="009E1F40"/>
    <w:rsid w:val="009E1FDE"/>
    <w:rsid w:val="009E2B87"/>
    <w:rsid w:val="009E2CAA"/>
    <w:rsid w:val="009E4767"/>
    <w:rsid w:val="009E49D2"/>
    <w:rsid w:val="009E4C15"/>
    <w:rsid w:val="009E671E"/>
    <w:rsid w:val="009E7EA4"/>
    <w:rsid w:val="009F01FF"/>
    <w:rsid w:val="009F2212"/>
    <w:rsid w:val="009F254A"/>
    <w:rsid w:val="009F2845"/>
    <w:rsid w:val="009F2A97"/>
    <w:rsid w:val="009F382B"/>
    <w:rsid w:val="009F3E0F"/>
    <w:rsid w:val="009F57CC"/>
    <w:rsid w:val="009F5A4C"/>
    <w:rsid w:val="009F6226"/>
    <w:rsid w:val="009F721D"/>
    <w:rsid w:val="009F7E0D"/>
    <w:rsid w:val="009F7EED"/>
    <w:rsid w:val="00A00815"/>
    <w:rsid w:val="00A00DFC"/>
    <w:rsid w:val="00A034E3"/>
    <w:rsid w:val="00A0351F"/>
    <w:rsid w:val="00A03B34"/>
    <w:rsid w:val="00A04866"/>
    <w:rsid w:val="00A05725"/>
    <w:rsid w:val="00A05B6D"/>
    <w:rsid w:val="00A05E3D"/>
    <w:rsid w:val="00A078F5"/>
    <w:rsid w:val="00A07E2F"/>
    <w:rsid w:val="00A07E6C"/>
    <w:rsid w:val="00A10FE7"/>
    <w:rsid w:val="00A11416"/>
    <w:rsid w:val="00A12117"/>
    <w:rsid w:val="00A12148"/>
    <w:rsid w:val="00A137A6"/>
    <w:rsid w:val="00A15198"/>
    <w:rsid w:val="00A15979"/>
    <w:rsid w:val="00A1643A"/>
    <w:rsid w:val="00A171EE"/>
    <w:rsid w:val="00A17BE5"/>
    <w:rsid w:val="00A200A6"/>
    <w:rsid w:val="00A21E08"/>
    <w:rsid w:val="00A22268"/>
    <w:rsid w:val="00A2276A"/>
    <w:rsid w:val="00A24100"/>
    <w:rsid w:val="00A243CD"/>
    <w:rsid w:val="00A24E2A"/>
    <w:rsid w:val="00A25435"/>
    <w:rsid w:val="00A25958"/>
    <w:rsid w:val="00A2651D"/>
    <w:rsid w:val="00A26638"/>
    <w:rsid w:val="00A300AF"/>
    <w:rsid w:val="00A30FBA"/>
    <w:rsid w:val="00A31054"/>
    <w:rsid w:val="00A3112A"/>
    <w:rsid w:val="00A315E2"/>
    <w:rsid w:val="00A31C5B"/>
    <w:rsid w:val="00A32ADC"/>
    <w:rsid w:val="00A33387"/>
    <w:rsid w:val="00A33C1D"/>
    <w:rsid w:val="00A3425F"/>
    <w:rsid w:val="00A3490A"/>
    <w:rsid w:val="00A35ECD"/>
    <w:rsid w:val="00A36210"/>
    <w:rsid w:val="00A37974"/>
    <w:rsid w:val="00A37A28"/>
    <w:rsid w:val="00A40127"/>
    <w:rsid w:val="00A406F6"/>
    <w:rsid w:val="00A40B7C"/>
    <w:rsid w:val="00A40C53"/>
    <w:rsid w:val="00A4172D"/>
    <w:rsid w:val="00A41D08"/>
    <w:rsid w:val="00A420D7"/>
    <w:rsid w:val="00A44A4F"/>
    <w:rsid w:val="00A44B19"/>
    <w:rsid w:val="00A44D1F"/>
    <w:rsid w:val="00A45AEB"/>
    <w:rsid w:val="00A46233"/>
    <w:rsid w:val="00A46410"/>
    <w:rsid w:val="00A46F60"/>
    <w:rsid w:val="00A472AB"/>
    <w:rsid w:val="00A47D19"/>
    <w:rsid w:val="00A50353"/>
    <w:rsid w:val="00A50739"/>
    <w:rsid w:val="00A50E76"/>
    <w:rsid w:val="00A51137"/>
    <w:rsid w:val="00A51188"/>
    <w:rsid w:val="00A514F0"/>
    <w:rsid w:val="00A518F3"/>
    <w:rsid w:val="00A51A57"/>
    <w:rsid w:val="00A51B4C"/>
    <w:rsid w:val="00A51FDD"/>
    <w:rsid w:val="00A5272A"/>
    <w:rsid w:val="00A52773"/>
    <w:rsid w:val="00A52A1B"/>
    <w:rsid w:val="00A52CDC"/>
    <w:rsid w:val="00A536CB"/>
    <w:rsid w:val="00A53E8E"/>
    <w:rsid w:val="00A54E66"/>
    <w:rsid w:val="00A562F3"/>
    <w:rsid w:val="00A57170"/>
    <w:rsid w:val="00A60862"/>
    <w:rsid w:val="00A63EB3"/>
    <w:rsid w:val="00A64E31"/>
    <w:rsid w:val="00A64F15"/>
    <w:rsid w:val="00A65074"/>
    <w:rsid w:val="00A67449"/>
    <w:rsid w:val="00A6761E"/>
    <w:rsid w:val="00A67C63"/>
    <w:rsid w:val="00A70048"/>
    <w:rsid w:val="00A700D6"/>
    <w:rsid w:val="00A70771"/>
    <w:rsid w:val="00A729BF"/>
    <w:rsid w:val="00A73E22"/>
    <w:rsid w:val="00A73E55"/>
    <w:rsid w:val="00A7460D"/>
    <w:rsid w:val="00A758CF"/>
    <w:rsid w:val="00A77C12"/>
    <w:rsid w:val="00A819D2"/>
    <w:rsid w:val="00A81AAF"/>
    <w:rsid w:val="00A81FBD"/>
    <w:rsid w:val="00A82EEA"/>
    <w:rsid w:val="00A84557"/>
    <w:rsid w:val="00A8761A"/>
    <w:rsid w:val="00A87747"/>
    <w:rsid w:val="00A906B9"/>
    <w:rsid w:val="00A910BA"/>
    <w:rsid w:val="00A919FA"/>
    <w:rsid w:val="00A91EA8"/>
    <w:rsid w:val="00A92412"/>
    <w:rsid w:val="00A92675"/>
    <w:rsid w:val="00A931C6"/>
    <w:rsid w:val="00A967B3"/>
    <w:rsid w:val="00A96A56"/>
    <w:rsid w:val="00A96E01"/>
    <w:rsid w:val="00A96F36"/>
    <w:rsid w:val="00A97028"/>
    <w:rsid w:val="00A9705F"/>
    <w:rsid w:val="00A97B0F"/>
    <w:rsid w:val="00A97B68"/>
    <w:rsid w:val="00A97CF1"/>
    <w:rsid w:val="00AA0568"/>
    <w:rsid w:val="00AA11D7"/>
    <w:rsid w:val="00AA1E4E"/>
    <w:rsid w:val="00AA3C74"/>
    <w:rsid w:val="00AA3E6B"/>
    <w:rsid w:val="00AA4F49"/>
    <w:rsid w:val="00AA65B6"/>
    <w:rsid w:val="00AA6DA6"/>
    <w:rsid w:val="00AA7C97"/>
    <w:rsid w:val="00AB14C0"/>
    <w:rsid w:val="00AB183A"/>
    <w:rsid w:val="00AB1C0D"/>
    <w:rsid w:val="00AB29A6"/>
    <w:rsid w:val="00AB2AE3"/>
    <w:rsid w:val="00AB382C"/>
    <w:rsid w:val="00AB3882"/>
    <w:rsid w:val="00AB3CCC"/>
    <w:rsid w:val="00AB3FB7"/>
    <w:rsid w:val="00AB4031"/>
    <w:rsid w:val="00AB610E"/>
    <w:rsid w:val="00AB75E7"/>
    <w:rsid w:val="00AC2256"/>
    <w:rsid w:val="00AC3653"/>
    <w:rsid w:val="00AC3B8C"/>
    <w:rsid w:val="00AC4044"/>
    <w:rsid w:val="00AC43FD"/>
    <w:rsid w:val="00AC4900"/>
    <w:rsid w:val="00AC4939"/>
    <w:rsid w:val="00AC4EF8"/>
    <w:rsid w:val="00AC5020"/>
    <w:rsid w:val="00AC7096"/>
    <w:rsid w:val="00AC739B"/>
    <w:rsid w:val="00AD0231"/>
    <w:rsid w:val="00AD173B"/>
    <w:rsid w:val="00AD1766"/>
    <w:rsid w:val="00AD1B09"/>
    <w:rsid w:val="00AD1E52"/>
    <w:rsid w:val="00AD25A6"/>
    <w:rsid w:val="00AD2C56"/>
    <w:rsid w:val="00AD37F3"/>
    <w:rsid w:val="00AD39F5"/>
    <w:rsid w:val="00AD40BD"/>
    <w:rsid w:val="00AD4AC4"/>
    <w:rsid w:val="00AD64CE"/>
    <w:rsid w:val="00AD6627"/>
    <w:rsid w:val="00AD7414"/>
    <w:rsid w:val="00AE02D6"/>
    <w:rsid w:val="00AE10ED"/>
    <w:rsid w:val="00AE2413"/>
    <w:rsid w:val="00AE291F"/>
    <w:rsid w:val="00AE3188"/>
    <w:rsid w:val="00AE3D87"/>
    <w:rsid w:val="00AE3F8E"/>
    <w:rsid w:val="00AE5502"/>
    <w:rsid w:val="00AE5C37"/>
    <w:rsid w:val="00AE607E"/>
    <w:rsid w:val="00AE6628"/>
    <w:rsid w:val="00AE7059"/>
    <w:rsid w:val="00AE79A6"/>
    <w:rsid w:val="00AE7C79"/>
    <w:rsid w:val="00AE7D50"/>
    <w:rsid w:val="00AE7E3C"/>
    <w:rsid w:val="00AF030B"/>
    <w:rsid w:val="00AF117A"/>
    <w:rsid w:val="00AF26AA"/>
    <w:rsid w:val="00AF3353"/>
    <w:rsid w:val="00AF33F3"/>
    <w:rsid w:val="00AF55EF"/>
    <w:rsid w:val="00AF5E04"/>
    <w:rsid w:val="00AF718F"/>
    <w:rsid w:val="00B0086C"/>
    <w:rsid w:val="00B00D9F"/>
    <w:rsid w:val="00B04ECD"/>
    <w:rsid w:val="00B0537F"/>
    <w:rsid w:val="00B054F4"/>
    <w:rsid w:val="00B0587E"/>
    <w:rsid w:val="00B060F3"/>
    <w:rsid w:val="00B07FE6"/>
    <w:rsid w:val="00B11C5D"/>
    <w:rsid w:val="00B11F4F"/>
    <w:rsid w:val="00B1263F"/>
    <w:rsid w:val="00B138A8"/>
    <w:rsid w:val="00B138CA"/>
    <w:rsid w:val="00B13A60"/>
    <w:rsid w:val="00B142C8"/>
    <w:rsid w:val="00B147B1"/>
    <w:rsid w:val="00B1526D"/>
    <w:rsid w:val="00B16726"/>
    <w:rsid w:val="00B17044"/>
    <w:rsid w:val="00B17629"/>
    <w:rsid w:val="00B17E74"/>
    <w:rsid w:val="00B20440"/>
    <w:rsid w:val="00B216E2"/>
    <w:rsid w:val="00B21CAD"/>
    <w:rsid w:val="00B23B28"/>
    <w:rsid w:val="00B243B2"/>
    <w:rsid w:val="00B249C6"/>
    <w:rsid w:val="00B24CA0"/>
    <w:rsid w:val="00B25453"/>
    <w:rsid w:val="00B2579F"/>
    <w:rsid w:val="00B2585C"/>
    <w:rsid w:val="00B26CA6"/>
    <w:rsid w:val="00B27490"/>
    <w:rsid w:val="00B27857"/>
    <w:rsid w:val="00B27D15"/>
    <w:rsid w:val="00B30EF9"/>
    <w:rsid w:val="00B3174A"/>
    <w:rsid w:val="00B319A2"/>
    <w:rsid w:val="00B32084"/>
    <w:rsid w:val="00B32871"/>
    <w:rsid w:val="00B32EC1"/>
    <w:rsid w:val="00B34710"/>
    <w:rsid w:val="00B35F43"/>
    <w:rsid w:val="00B3601B"/>
    <w:rsid w:val="00B36596"/>
    <w:rsid w:val="00B36709"/>
    <w:rsid w:val="00B3768D"/>
    <w:rsid w:val="00B4040D"/>
    <w:rsid w:val="00B404A7"/>
    <w:rsid w:val="00B4128B"/>
    <w:rsid w:val="00B44153"/>
    <w:rsid w:val="00B45840"/>
    <w:rsid w:val="00B45E62"/>
    <w:rsid w:val="00B45EF8"/>
    <w:rsid w:val="00B46490"/>
    <w:rsid w:val="00B46723"/>
    <w:rsid w:val="00B4746A"/>
    <w:rsid w:val="00B47D24"/>
    <w:rsid w:val="00B47DA9"/>
    <w:rsid w:val="00B50C87"/>
    <w:rsid w:val="00B528EF"/>
    <w:rsid w:val="00B52A9C"/>
    <w:rsid w:val="00B52EEF"/>
    <w:rsid w:val="00B531F0"/>
    <w:rsid w:val="00B53971"/>
    <w:rsid w:val="00B546CA"/>
    <w:rsid w:val="00B54AEC"/>
    <w:rsid w:val="00B54DBE"/>
    <w:rsid w:val="00B57E6E"/>
    <w:rsid w:val="00B57FDD"/>
    <w:rsid w:val="00B60F06"/>
    <w:rsid w:val="00B6113B"/>
    <w:rsid w:val="00B63FBB"/>
    <w:rsid w:val="00B646B3"/>
    <w:rsid w:val="00B66905"/>
    <w:rsid w:val="00B6703F"/>
    <w:rsid w:val="00B705FE"/>
    <w:rsid w:val="00B72453"/>
    <w:rsid w:val="00B72E54"/>
    <w:rsid w:val="00B7379B"/>
    <w:rsid w:val="00B737DD"/>
    <w:rsid w:val="00B763ED"/>
    <w:rsid w:val="00B765C3"/>
    <w:rsid w:val="00B77E62"/>
    <w:rsid w:val="00B77EA8"/>
    <w:rsid w:val="00B80503"/>
    <w:rsid w:val="00B80F13"/>
    <w:rsid w:val="00B81DAF"/>
    <w:rsid w:val="00B828DC"/>
    <w:rsid w:val="00B83113"/>
    <w:rsid w:val="00B8341C"/>
    <w:rsid w:val="00B84B7F"/>
    <w:rsid w:val="00B85208"/>
    <w:rsid w:val="00B85961"/>
    <w:rsid w:val="00B86CF2"/>
    <w:rsid w:val="00B91E47"/>
    <w:rsid w:val="00B922FF"/>
    <w:rsid w:val="00B93342"/>
    <w:rsid w:val="00B93A38"/>
    <w:rsid w:val="00B946E7"/>
    <w:rsid w:val="00B94A27"/>
    <w:rsid w:val="00B94BF7"/>
    <w:rsid w:val="00B94D50"/>
    <w:rsid w:val="00B9554F"/>
    <w:rsid w:val="00B960C5"/>
    <w:rsid w:val="00B966FD"/>
    <w:rsid w:val="00B96CFE"/>
    <w:rsid w:val="00B9710F"/>
    <w:rsid w:val="00B97572"/>
    <w:rsid w:val="00B97CA1"/>
    <w:rsid w:val="00BA04AA"/>
    <w:rsid w:val="00BA1E15"/>
    <w:rsid w:val="00BA2150"/>
    <w:rsid w:val="00BA285C"/>
    <w:rsid w:val="00BA307F"/>
    <w:rsid w:val="00BA4706"/>
    <w:rsid w:val="00BA4F49"/>
    <w:rsid w:val="00BA5401"/>
    <w:rsid w:val="00BA7404"/>
    <w:rsid w:val="00BA7CDF"/>
    <w:rsid w:val="00BB00B1"/>
    <w:rsid w:val="00BB1777"/>
    <w:rsid w:val="00BB1AD4"/>
    <w:rsid w:val="00BB2BF8"/>
    <w:rsid w:val="00BB373E"/>
    <w:rsid w:val="00BB399D"/>
    <w:rsid w:val="00BB3A1C"/>
    <w:rsid w:val="00BB4C1C"/>
    <w:rsid w:val="00BB4E87"/>
    <w:rsid w:val="00BB4F2F"/>
    <w:rsid w:val="00BB562F"/>
    <w:rsid w:val="00BB600C"/>
    <w:rsid w:val="00BB60B2"/>
    <w:rsid w:val="00BB78B4"/>
    <w:rsid w:val="00BC010D"/>
    <w:rsid w:val="00BC1779"/>
    <w:rsid w:val="00BC1BFA"/>
    <w:rsid w:val="00BC2681"/>
    <w:rsid w:val="00BC46CC"/>
    <w:rsid w:val="00BC4745"/>
    <w:rsid w:val="00BC4EF4"/>
    <w:rsid w:val="00BC59D2"/>
    <w:rsid w:val="00BC6116"/>
    <w:rsid w:val="00BC61EC"/>
    <w:rsid w:val="00BC64E4"/>
    <w:rsid w:val="00BC65B9"/>
    <w:rsid w:val="00BC6D8D"/>
    <w:rsid w:val="00BC71DC"/>
    <w:rsid w:val="00BD0AC6"/>
    <w:rsid w:val="00BD0C6D"/>
    <w:rsid w:val="00BD0CC3"/>
    <w:rsid w:val="00BD0D50"/>
    <w:rsid w:val="00BD3783"/>
    <w:rsid w:val="00BD3D91"/>
    <w:rsid w:val="00BD4D80"/>
    <w:rsid w:val="00BD50EF"/>
    <w:rsid w:val="00BD59D4"/>
    <w:rsid w:val="00BD6748"/>
    <w:rsid w:val="00BD67EF"/>
    <w:rsid w:val="00BD6877"/>
    <w:rsid w:val="00BD71FB"/>
    <w:rsid w:val="00BE0539"/>
    <w:rsid w:val="00BE0E6E"/>
    <w:rsid w:val="00BE13AD"/>
    <w:rsid w:val="00BE15EC"/>
    <w:rsid w:val="00BE1C30"/>
    <w:rsid w:val="00BE3412"/>
    <w:rsid w:val="00BE5C64"/>
    <w:rsid w:val="00BE6196"/>
    <w:rsid w:val="00BE71CE"/>
    <w:rsid w:val="00BE798D"/>
    <w:rsid w:val="00BF1E25"/>
    <w:rsid w:val="00BF1EF4"/>
    <w:rsid w:val="00BF3A55"/>
    <w:rsid w:val="00BF3CB7"/>
    <w:rsid w:val="00BF43EE"/>
    <w:rsid w:val="00BF4A8C"/>
    <w:rsid w:val="00BF6D1A"/>
    <w:rsid w:val="00BF71F6"/>
    <w:rsid w:val="00BF746E"/>
    <w:rsid w:val="00BF786B"/>
    <w:rsid w:val="00BF7C03"/>
    <w:rsid w:val="00C0501E"/>
    <w:rsid w:val="00C06289"/>
    <w:rsid w:val="00C06F4C"/>
    <w:rsid w:val="00C07091"/>
    <w:rsid w:val="00C1010F"/>
    <w:rsid w:val="00C105EE"/>
    <w:rsid w:val="00C10B28"/>
    <w:rsid w:val="00C1110C"/>
    <w:rsid w:val="00C11263"/>
    <w:rsid w:val="00C12674"/>
    <w:rsid w:val="00C12B43"/>
    <w:rsid w:val="00C14186"/>
    <w:rsid w:val="00C1427B"/>
    <w:rsid w:val="00C16088"/>
    <w:rsid w:val="00C16E47"/>
    <w:rsid w:val="00C170B3"/>
    <w:rsid w:val="00C20E48"/>
    <w:rsid w:val="00C21CC1"/>
    <w:rsid w:val="00C22110"/>
    <w:rsid w:val="00C246F5"/>
    <w:rsid w:val="00C255B4"/>
    <w:rsid w:val="00C25A39"/>
    <w:rsid w:val="00C26CE4"/>
    <w:rsid w:val="00C3169F"/>
    <w:rsid w:val="00C318BA"/>
    <w:rsid w:val="00C31C51"/>
    <w:rsid w:val="00C31FD0"/>
    <w:rsid w:val="00C3232A"/>
    <w:rsid w:val="00C33EBA"/>
    <w:rsid w:val="00C3487B"/>
    <w:rsid w:val="00C34F0D"/>
    <w:rsid w:val="00C37CE8"/>
    <w:rsid w:val="00C40044"/>
    <w:rsid w:val="00C424EB"/>
    <w:rsid w:val="00C43737"/>
    <w:rsid w:val="00C4409E"/>
    <w:rsid w:val="00C4432F"/>
    <w:rsid w:val="00C4501A"/>
    <w:rsid w:val="00C4523A"/>
    <w:rsid w:val="00C45B40"/>
    <w:rsid w:val="00C46605"/>
    <w:rsid w:val="00C47562"/>
    <w:rsid w:val="00C476C6"/>
    <w:rsid w:val="00C50566"/>
    <w:rsid w:val="00C51029"/>
    <w:rsid w:val="00C510A8"/>
    <w:rsid w:val="00C5178F"/>
    <w:rsid w:val="00C5254F"/>
    <w:rsid w:val="00C52A59"/>
    <w:rsid w:val="00C53F40"/>
    <w:rsid w:val="00C54C21"/>
    <w:rsid w:val="00C54E17"/>
    <w:rsid w:val="00C55A12"/>
    <w:rsid w:val="00C56CA1"/>
    <w:rsid w:val="00C5763C"/>
    <w:rsid w:val="00C60571"/>
    <w:rsid w:val="00C608FE"/>
    <w:rsid w:val="00C609C3"/>
    <w:rsid w:val="00C60C44"/>
    <w:rsid w:val="00C6142F"/>
    <w:rsid w:val="00C62BD5"/>
    <w:rsid w:val="00C65460"/>
    <w:rsid w:val="00C65A6F"/>
    <w:rsid w:val="00C65ABC"/>
    <w:rsid w:val="00C65F57"/>
    <w:rsid w:val="00C669DF"/>
    <w:rsid w:val="00C66D25"/>
    <w:rsid w:val="00C67597"/>
    <w:rsid w:val="00C7062A"/>
    <w:rsid w:val="00C70664"/>
    <w:rsid w:val="00C71B40"/>
    <w:rsid w:val="00C71F15"/>
    <w:rsid w:val="00C72112"/>
    <w:rsid w:val="00C72F5E"/>
    <w:rsid w:val="00C74E21"/>
    <w:rsid w:val="00C75BB4"/>
    <w:rsid w:val="00C75BCA"/>
    <w:rsid w:val="00C7643A"/>
    <w:rsid w:val="00C7647E"/>
    <w:rsid w:val="00C81165"/>
    <w:rsid w:val="00C81A6B"/>
    <w:rsid w:val="00C81ABE"/>
    <w:rsid w:val="00C83712"/>
    <w:rsid w:val="00C84937"/>
    <w:rsid w:val="00C85DEB"/>
    <w:rsid w:val="00C90894"/>
    <w:rsid w:val="00C90D40"/>
    <w:rsid w:val="00C90D44"/>
    <w:rsid w:val="00C90DBA"/>
    <w:rsid w:val="00C91EED"/>
    <w:rsid w:val="00C93790"/>
    <w:rsid w:val="00C957F0"/>
    <w:rsid w:val="00CA05B0"/>
    <w:rsid w:val="00CA155E"/>
    <w:rsid w:val="00CA1A7B"/>
    <w:rsid w:val="00CA219C"/>
    <w:rsid w:val="00CA24AC"/>
    <w:rsid w:val="00CA3CBB"/>
    <w:rsid w:val="00CA3E33"/>
    <w:rsid w:val="00CA569E"/>
    <w:rsid w:val="00CA694A"/>
    <w:rsid w:val="00CA7653"/>
    <w:rsid w:val="00CB0CAE"/>
    <w:rsid w:val="00CB1290"/>
    <w:rsid w:val="00CB14CB"/>
    <w:rsid w:val="00CB1DE4"/>
    <w:rsid w:val="00CB25EF"/>
    <w:rsid w:val="00CB2D56"/>
    <w:rsid w:val="00CB2E6D"/>
    <w:rsid w:val="00CB2F5F"/>
    <w:rsid w:val="00CB3488"/>
    <w:rsid w:val="00CB5EBE"/>
    <w:rsid w:val="00CB6294"/>
    <w:rsid w:val="00CB638B"/>
    <w:rsid w:val="00CB63C3"/>
    <w:rsid w:val="00CB69CD"/>
    <w:rsid w:val="00CB6FD4"/>
    <w:rsid w:val="00CC1055"/>
    <w:rsid w:val="00CC13BB"/>
    <w:rsid w:val="00CC2557"/>
    <w:rsid w:val="00CC2DE7"/>
    <w:rsid w:val="00CC33EA"/>
    <w:rsid w:val="00CC391D"/>
    <w:rsid w:val="00CC3BAF"/>
    <w:rsid w:val="00CC4CDD"/>
    <w:rsid w:val="00CC4ECB"/>
    <w:rsid w:val="00CC52F0"/>
    <w:rsid w:val="00CC537C"/>
    <w:rsid w:val="00CC607E"/>
    <w:rsid w:val="00CC7F15"/>
    <w:rsid w:val="00CD0673"/>
    <w:rsid w:val="00CD1634"/>
    <w:rsid w:val="00CD1A3C"/>
    <w:rsid w:val="00CD21FE"/>
    <w:rsid w:val="00CD2393"/>
    <w:rsid w:val="00CD4DC3"/>
    <w:rsid w:val="00CD53A9"/>
    <w:rsid w:val="00CD5F1B"/>
    <w:rsid w:val="00CD6DBA"/>
    <w:rsid w:val="00CD70D2"/>
    <w:rsid w:val="00CD784F"/>
    <w:rsid w:val="00CE04D1"/>
    <w:rsid w:val="00CE2170"/>
    <w:rsid w:val="00CE28E9"/>
    <w:rsid w:val="00CE2DC4"/>
    <w:rsid w:val="00CE406A"/>
    <w:rsid w:val="00CE4448"/>
    <w:rsid w:val="00CE52E9"/>
    <w:rsid w:val="00CE5A5E"/>
    <w:rsid w:val="00CE6358"/>
    <w:rsid w:val="00CE7F83"/>
    <w:rsid w:val="00CF1B2A"/>
    <w:rsid w:val="00CF2410"/>
    <w:rsid w:val="00CF2492"/>
    <w:rsid w:val="00CF26BF"/>
    <w:rsid w:val="00CF3202"/>
    <w:rsid w:val="00CF38FE"/>
    <w:rsid w:val="00D008F5"/>
    <w:rsid w:val="00D01CCD"/>
    <w:rsid w:val="00D03A38"/>
    <w:rsid w:val="00D040B5"/>
    <w:rsid w:val="00D0458E"/>
    <w:rsid w:val="00D045DA"/>
    <w:rsid w:val="00D0500E"/>
    <w:rsid w:val="00D06AA8"/>
    <w:rsid w:val="00D07E16"/>
    <w:rsid w:val="00D10682"/>
    <w:rsid w:val="00D106FB"/>
    <w:rsid w:val="00D1196C"/>
    <w:rsid w:val="00D11EA6"/>
    <w:rsid w:val="00D120B6"/>
    <w:rsid w:val="00D12ADF"/>
    <w:rsid w:val="00D13E34"/>
    <w:rsid w:val="00D143E6"/>
    <w:rsid w:val="00D14811"/>
    <w:rsid w:val="00D16738"/>
    <w:rsid w:val="00D16E38"/>
    <w:rsid w:val="00D17801"/>
    <w:rsid w:val="00D17AF7"/>
    <w:rsid w:val="00D202BE"/>
    <w:rsid w:val="00D203EE"/>
    <w:rsid w:val="00D20953"/>
    <w:rsid w:val="00D20FE1"/>
    <w:rsid w:val="00D219A3"/>
    <w:rsid w:val="00D228A7"/>
    <w:rsid w:val="00D24553"/>
    <w:rsid w:val="00D245A5"/>
    <w:rsid w:val="00D2496E"/>
    <w:rsid w:val="00D24A08"/>
    <w:rsid w:val="00D2725F"/>
    <w:rsid w:val="00D3037F"/>
    <w:rsid w:val="00D30628"/>
    <w:rsid w:val="00D31368"/>
    <w:rsid w:val="00D318E9"/>
    <w:rsid w:val="00D32F69"/>
    <w:rsid w:val="00D33174"/>
    <w:rsid w:val="00D33574"/>
    <w:rsid w:val="00D33E20"/>
    <w:rsid w:val="00D33EF0"/>
    <w:rsid w:val="00D3449B"/>
    <w:rsid w:val="00D34A70"/>
    <w:rsid w:val="00D34E43"/>
    <w:rsid w:val="00D35714"/>
    <w:rsid w:val="00D35D11"/>
    <w:rsid w:val="00D42F82"/>
    <w:rsid w:val="00D43474"/>
    <w:rsid w:val="00D43942"/>
    <w:rsid w:val="00D439C5"/>
    <w:rsid w:val="00D4496C"/>
    <w:rsid w:val="00D455B7"/>
    <w:rsid w:val="00D45DA9"/>
    <w:rsid w:val="00D51848"/>
    <w:rsid w:val="00D51C62"/>
    <w:rsid w:val="00D532E2"/>
    <w:rsid w:val="00D5354C"/>
    <w:rsid w:val="00D5382B"/>
    <w:rsid w:val="00D5399A"/>
    <w:rsid w:val="00D53B88"/>
    <w:rsid w:val="00D55AE8"/>
    <w:rsid w:val="00D56A22"/>
    <w:rsid w:val="00D57BF8"/>
    <w:rsid w:val="00D6070A"/>
    <w:rsid w:val="00D60D38"/>
    <w:rsid w:val="00D6146B"/>
    <w:rsid w:val="00D61BD1"/>
    <w:rsid w:val="00D62672"/>
    <w:rsid w:val="00D629C4"/>
    <w:rsid w:val="00D634FA"/>
    <w:rsid w:val="00D64021"/>
    <w:rsid w:val="00D64BB9"/>
    <w:rsid w:val="00D651AB"/>
    <w:rsid w:val="00D659C7"/>
    <w:rsid w:val="00D65B8B"/>
    <w:rsid w:val="00D663F2"/>
    <w:rsid w:val="00D665B1"/>
    <w:rsid w:val="00D66B9A"/>
    <w:rsid w:val="00D677FE"/>
    <w:rsid w:val="00D702A0"/>
    <w:rsid w:val="00D70631"/>
    <w:rsid w:val="00D70A1C"/>
    <w:rsid w:val="00D70AE8"/>
    <w:rsid w:val="00D72387"/>
    <w:rsid w:val="00D72C7D"/>
    <w:rsid w:val="00D73638"/>
    <w:rsid w:val="00D73754"/>
    <w:rsid w:val="00D75262"/>
    <w:rsid w:val="00D76081"/>
    <w:rsid w:val="00D76297"/>
    <w:rsid w:val="00D7754F"/>
    <w:rsid w:val="00D7769A"/>
    <w:rsid w:val="00D777A2"/>
    <w:rsid w:val="00D77D6E"/>
    <w:rsid w:val="00D77ED9"/>
    <w:rsid w:val="00D80CA3"/>
    <w:rsid w:val="00D822B8"/>
    <w:rsid w:val="00D82693"/>
    <w:rsid w:val="00D826D6"/>
    <w:rsid w:val="00D82808"/>
    <w:rsid w:val="00D82934"/>
    <w:rsid w:val="00D82D61"/>
    <w:rsid w:val="00D83E23"/>
    <w:rsid w:val="00D842DF"/>
    <w:rsid w:val="00D8527E"/>
    <w:rsid w:val="00D85332"/>
    <w:rsid w:val="00D865D1"/>
    <w:rsid w:val="00D87AF3"/>
    <w:rsid w:val="00D90ABD"/>
    <w:rsid w:val="00D91388"/>
    <w:rsid w:val="00D93006"/>
    <w:rsid w:val="00D9344B"/>
    <w:rsid w:val="00D94740"/>
    <w:rsid w:val="00D9694F"/>
    <w:rsid w:val="00D97C97"/>
    <w:rsid w:val="00DA0C93"/>
    <w:rsid w:val="00DA14EC"/>
    <w:rsid w:val="00DA1EC1"/>
    <w:rsid w:val="00DA516D"/>
    <w:rsid w:val="00DA5FC9"/>
    <w:rsid w:val="00DA60D5"/>
    <w:rsid w:val="00DA6AF9"/>
    <w:rsid w:val="00DA6B47"/>
    <w:rsid w:val="00DA7082"/>
    <w:rsid w:val="00DB1949"/>
    <w:rsid w:val="00DB208D"/>
    <w:rsid w:val="00DB2901"/>
    <w:rsid w:val="00DB2EF8"/>
    <w:rsid w:val="00DB3B9C"/>
    <w:rsid w:val="00DB421B"/>
    <w:rsid w:val="00DB5624"/>
    <w:rsid w:val="00DB599B"/>
    <w:rsid w:val="00DB5EB8"/>
    <w:rsid w:val="00DC0134"/>
    <w:rsid w:val="00DC0C92"/>
    <w:rsid w:val="00DC134E"/>
    <w:rsid w:val="00DC190B"/>
    <w:rsid w:val="00DC44D1"/>
    <w:rsid w:val="00DC4738"/>
    <w:rsid w:val="00DC4971"/>
    <w:rsid w:val="00DC6F41"/>
    <w:rsid w:val="00DC7462"/>
    <w:rsid w:val="00DC7684"/>
    <w:rsid w:val="00DD2838"/>
    <w:rsid w:val="00DD34FE"/>
    <w:rsid w:val="00DD3A3E"/>
    <w:rsid w:val="00DD3C65"/>
    <w:rsid w:val="00DD40E3"/>
    <w:rsid w:val="00DD484D"/>
    <w:rsid w:val="00DD550B"/>
    <w:rsid w:val="00DD6084"/>
    <w:rsid w:val="00DD6197"/>
    <w:rsid w:val="00DD7008"/>
    <w:rsid w:val="00DD755B"/>
    <w:rsid w:val="00DD7D59"/>
    <w:rsid w:val="00DE0AE0"/>
    <w:rsid w:val="00DE1296"/>
    <w:rsid w:val="00DE14E0"/>
    <w:rsid w:val="00DE2A65"/>
    <w:rsid w:val="00DE2BC6"/>
    <w:rsid w:val="00DE4166"/>
    <w:rsid w:val="00DE50BC"/>
    <w:rsid w:val="00DE5602"/>
    <w:rsid w:val="00DE56EE"/>
    <w:rsid w:val="00DE5BD9"/>
    <w:rsid w:val="00DE5C39"/>
    <w:rsid w:val="00DE6D3C"/>
    <w:rsid w:val="00DE6FC7"/>
    <w:rsid w:val="00DE72FF"/>
    <w:rsid w:val="00DE792F"/>
    <w:rsid w:val="00DE7A02"/>
    <w:rsid w:val="00DF0C60"/>
    <w:rsid w:val="00DF1945"/>
    <w:rsid w:val="00DF2C13"/>
    <w:rsid w:val="00DF31EB"/>
    <w:rsid w:val="00DF41EF"/>
    <w:rsid w:val="00DF4688"/>
    <w:rsid w:val="00DF6025"/>
    <w:rsid w:val="00DF72D2"/>
    <w:rsid w:val="00DF7434"/>
    <w:rsid w:val="00DF7955"/>
    <w:rsid w:val="00E005BF"/>
    <w:rsid w:val="00E00DC2"/>
    <w:rsid w:val="00E01300"/>
    <w:rsid w:val="00E0311E"/>
    <w:rsid w:val="00E034E5"/>
    <w:rsid w:val="00E05274"/>
    <w:rsid w:val="00E05B59"/>
    <w:rsid w:val="00E06F15"/>
    <w:rsid w:val="00E07811"/>
    <w:rsid w:val="00E07E9A"/>
    <w:rsid w:val="00E100D2"/>
    <w:rsid w:val="00E111D3"/>
    <w:rsid w:val="00E123C6"/>
    <w:rsid w:val="00E12861"/>
    <w:rsid w:val="00E12B49"/>
    <w:rsid w:val="00E12D13"/>
    <w:rsid w:val="00E12F69"/>
    <w:rsid w:val="00E12F9C"/>
    <w:rsid w:val="00E1421C"/>
    <w:rsid w:val="00E14754"/>
    <w:rsid w:val="00E14843"/>
    <w:rsid w:val="00E154FC"/>
    <w:rsid w:val="00E15A8C"/>
    <w:rsid w:val="00E16CB5"/>
    <w:rsid w:val="00E2086F"/>
    <w:rsid w:val="00E20B9B"/>
    <w:rsid w:val="00E2109C"/>
    <w:rsid w:val="00E21350"/>
    <w:rsid w:val="00E21CC9"/>
    <w:rsid w:val="00E21E40"/>
    <w:rsid w:val="00E22828"/>
    <w:rsid w:val="00E22926"/>
    <w:rsid w:val="00E2382E"/>
    <w:rsid w:val="00E23D4E"/>
    <w:rsid w:val="00E2563F"/>
    <w:rsid w:val="00E25C07"/>
    <w:rsid w:val="00E263A6"/>
    <w:rsid w:val="00E3019C"/>
    <w:rsid w:val="00E30462"/>
    <w:rsid w:val="00E30BCC"/>
    <w:rsid w:val="00E31872"/>
    <w:rsid w:val="00E32EBF"/>
    <w:rsid w:val="00E331A8"/>
    <w:rsid w:val="00E339CD"/>
    <w:rsid w:val="00E3459B"/>
    <w:rsid w:val="00E36B44"/>
    <w:rsid w:val="00E3775D"/>
    <w:rsid w:val="00E37783"/>
    <w:rsid w:val="00E40B39"/>
    <w:rsid w:val="00E422EC"/>
    <w:rsid w:val="00E435F1"/>
    <w:rsid w:val="00E43D5A"/>
    <w:rsid w:val="00E44128"/>
    <w:rsid w:val="00E44282"/>
    <w:rsid w:val="00E45D22"/>
    <w:rsid w:val="00E45EC9"/>
    <w:rsid w:val="00E46DEA"/>
    <w:rsid w:val="00E46F3F"/>
    <w:rsid w:val="00E46FF7"/>
    <w:rsid w:val="00E5058B"/>
    <w:rsid w:val="00E527A8"/>
    <w:rsid w:val="00E5312A"/>
    <w:rsid w:val="00E53B25"/>
    <w:rsid w:val="00E53DE3"/>
    <w:rsid w:val="00E541D4"/>
    <w:rsid w:val="00E54E68"/>
    <w:rsid w:val="00E5685B"/>
    <w:rsid w:val="00E576E1"/>
    <w:rsid w:val="00E57F48"/>
    <w:rsid w:val="00E60581"/>
    <w:rsid w:val="00E60C47"/>
    <w:rsid w:val="00E621E8"/>
    <w:rsid w:val="00E6251A"/>
    <w:rsid w:val="00E62E96"/>
    <w:rsid w:val="00E6313D"/>
    <w:rsid w:val="00E637F6"/>
    <w:rsid w:val="00E64D1C"/>
    <w:rsid w:val="00E64F86"/>
    <w:rsid w:val="00E67369"/>
    <w:rsid w:val="00E678CD"/>
    <w:rsid w:val="00E67915"/>
    <w:rsid w:val="00E70009"/>
    <w:rsid w:val="00E72568"/>
    <w:rsid w:val="00E72741"/>
    <w:rsid w:val="00E732D6"/>
    <w:rsid w:val="00E73916"/>
    <w:rsid w:val="00E7437B"/>
    <w:rsid w:val="00E75C29"/>
    <w:rsid w:val="00E7719B"/>
    <w:rsid w:val="00E772A6"/>
    <w:rsid w:val="00E81C40"/>
    <w:rsid w:val="00E830FF"/>
    <w:rsid w:val="00E832A2"/>
    <w:rsid w:val="00E832B4"/>
    <w:rsid w:val="00E845A0"/>
    <w:rsid w:val="00E848FB"/>
    <w:rsid w:val="00E84D9A"/>
    <w:rsid w:val="00E84E53"/>
    <w:rsid w:val="00E87DF6"/>
    <w:rsid w:val="00E90001"/>
    <w:rsid w:val="00E91743"/>
    <w:rsid w:val="00E92BB8"/>
    <w:rsid w:val="00E92DFA"/>
    <w:rsid w:val="00E941A1"/>
    <w:rsid w:val="00E94890"/>
    <w:rsid w:val="00E94CED"/>
    <w:rsid w:val="00E95822"/>
    <w:rsid w:val="00EA012B"/>
    <w:rsid w:val="00EA09BB"/>
    <w:rsid w:val="00EA2467"/>
    <w:rsid w:val="00EA2A0C"/>
    <w:rsid w:val="00EA37D6"/>
    <w:rsid w:val="00EA39AF"/>
    <w:rsid w:val="00EA3C08"/>
    <w:rsid w:val="00EA434B"/>
    <w:rsid w:val="00EA51B9"/>
    <w:rsid w:val="00EA540C"/>
    <w:rsid w:val="00EA6F57"/>
    <w:rsid w:val="00EB0A55"/>
    <w:rsid w:val="00EB0FC3"/>
    <w:rsid w:val="00EB3061"/>
    <w:rsid w:val="00EB4A0A"/>
    <w:rsid w:val="00EB6527"/>
    <w:rsid w:val="00EB6B97"/>
    <w:rsid w:val="00EB7256"/>
    <w:rsid w:val="00EB7719"/>
    <w:rsid w:val="00EC0BE8"/>
    <w:rsid w:val="00EC0CBD"/>
    <w:rsid w:val="00EC0E25"/>
    <w:rsid w:val="00EC1F54"/>
    <w:rsid w:val="00EC2C60"/>
    <w:rsid w:val="00EC4DD8"/>
    <w:rsid w:val="00EC5A6F"/>
    <w:rsid w:val="00EC77E6"/>
    <w:rsid w:val="00ED0B20"/>
    <w:rsid w:val="00ED15DC"/>
    <w:rsid w:val="00ED176C"/>
    <w:rsid w:val="00ED1C6A"/>
    <w:rsid w:val="00ED1FA7"/>
    <w:rsid w:val="00ED2451"/>
    <w:rsid w:val="00ED39D6"/>
    <w:rsid w:val="00ED3DC3"/>
    <w:rsid w:val="00ED790B"/>
    <w:rsid w:val="00ED7CD1"/>
    <w:rsid w:val="00EE014E"/>
    <w:rsid w:val="00EE147A"/>
    <w:rsid w:val="00EE29BD"/>
    <w:rsid w:val="00EE3902"/>
    <w:rsid w:val="00EE394C"/>
    <w:rsid w:val="00EE4FAC"/>
    <w:rsid w:val="00EE58A6"/>
    <w:rsid w:val="00EE678B"/>
    <w:rsid w:val="00EE77FC"/>
    <w:rsid w:val="00EE7E6E"/>
    <w:rsid w:val="00EF0C32"/>
    <w:rsid w:val="00EF0F77"/>
    <w:rsid w:val="00EF1048"/>
    <w:rsid w:val="00EF12E6"/>
    <w:rsid w:val="00EF203B"/>
    <w:rsid w:val="00EF27EB"/>
    <w:rsid w:val="00EF3448"/>
    <w:rsid w:val="00EF39B2"/>
    <w:rsid w:val="00EF3C01"/>
    <w:rsid w:val="00EF41C3"/>
    <w:rsid w:val="00EF439D"/>
    <w:rsid w:val="00EF5926"/>
    <w:rsid w:val="00EF748C"/>
    <w:rsid w:val="00EF76D9"/>
    <w:rsid w:val="00EF77EE"/>
    <w:rsid w:val="00F004A6"/>
    <w:rsid w:val="00F0193B"/>
    <w:rsid w:val="00F02307"/>
    <w:rsid w:val="00F032E8"/>
    <w:rsid w:val="00F0492D"/>
    <w:rsid w:val="00F07070"/>
    <w:rsid w:val="00F074E8"/>
    <w:rsid w:val="00F10077"/>
    <w:rsid w:val="00F10938"/>
    <w:rsid w:val="00F1127B"/>
    <w:rsid w:val="00F1155B"/>
    <w:rsid w:val="00F11C1C"/>
    <w:rsid w:val="00F11F88"/>
    <w:rsid w:val="00F12FBB"/>
    <w:rsid w:val="00F1320D"/>
    <w:rsid w:val="00F1369A"/>
    <w:rsid w:val="00F13EBC"/>
    <w:rsid w:val="00F150B5"/>
    <w:rsid w:val="00F15429"/>
    <w:rsid w:val="00F1571D"/>
    <w:rsid w:val="00F15D53"/>
    <w:rsid w:val="00F15E7E"/>
    <w:rsid w:val="00F163A2"/>
    <w:rsid w:val="00F164C0"/>
    <w:rsid w:val="00F16A25"/>
    <w:rsid w:val="00F178A6"/>
    <w:rsid w:val="00F21001"/>
    <w:rsid w:val="00F21224"/>
    <w:rsid w:val="00F21465"/>
    <w:rsid w:val="00F21BF0"/>
    <w:rsid w:val="00F22692"/>
    <w:rsid w:val="00F22A58"/>
    <w:rsid w:val="00F24697"/>
    <w:rsid w:val="00F2521A"/>
    <w:rsid w:val="00F256A8"/>
    <w:rsid w:val="00F25738"/>
    <w:rsid w:val="00F2575B"/>
    <w:rsid w:val="00F25797"/>
    <w:rsid w:val="00F25B7E"/>
    <w:rsid w:val="00F25E42"/>
    <w:rsid w:val="00F2600C"/>
    <w:rsid w:val="00F26552"/>
    <w:rsid w:val="00F268B5"/>
    <w:rsid w:val="00F27339"/>
    <w:rsid w:val="00F27F17"/>
    <w:rsid w:val="00F305C9"/>
    <w:rsid w:val="00F30AB1"/>
    <w:rsid w:val="00F31042"/>
    <w:rsid w:val="00F32FB7"/>
    <w:rsid w:val="00F34C10"/>
    <w:rsid w:val="00F34F44"/>
    <w:rsid w:val="00F3518E"/>
    <w:rsid w:val="00F357A7"/>
    <w:rsid w:val="00F35F95"/>
    <w:rsid w:val="00F36AF5"/>
    <w:rsid w:val="00F372C2"/>
    <w:rsid w:val="00F40D33"/>
    <w:rsid w:val="00F4122B"/>
    <w:rsid w:val="00F41483"/>
    <w:rsid w:val="00F42E44"/>
    <w:rsid w:val="00F42E81"/>
    <w:rsid w:val="00F439E8"/>
    <w:rsid w:val="00F440C0"/>
    <w:rsid w:val="00F45624"/>
    <w:rsid w:val="00F45AD7"/>
    <w:rsid w:val="00F45B5E"/>
    <w:rsid w:val="00F46388"/>
    <w:rsid w:val="00F46739"/>
    <w:rsid w:val="00F47DBC"/>
    <w:rsid w:val="00F51AFA"/>
    <w:rsid w:val="00F51B3E"/>
    <w:rsid w:val="00F52408"/>
    <w:rsid w:val="00F53BA4"/>
    <w:rsid w:val="00F53DD1"/>
    <w:rsid w:val="00F551FA"/>
    <w:rsid w:val="00F55FCB"/>
    <w:rsid w:val="00F56816"/>
    <w:rsid w:val="00F575F9"/>
    <w:rsid w:val="00F57D55"/>
    <w:rsid w:val="00F607B4"/>
    <w:rsid w:val="00F6327C"/>
    <w:rsid w:val="00F63D47"/>
    <w:rsid w:val="00F6509C"/>
    <w:rsid w:val="00F655E4"/>
    <w:rsid w:val="00F65766"/>
    <w:rsid w:val="00F67EC1"/>
    <w:rsid w:val="00F7085B"/>
    <w:rsid w:val="00F70B4B"/>
    <w:rsid w:val="00F7133F"/>
    <w:rsid w:val="00F71EFD"/>
    <w:rsid w:val="00F72248"/>
    <w:rsid w:val="00F724A6"/>
    <w:rsid w:val="00F7312B"/>
    <w:rsid w:val="00F73234"/>
    <w:rsid w:val="00F7338F"/>
    <w:rsid w:val="00F73892"/>
    <w:rsid w:val="00F73D27"/>
    <w:rsid w:val="00F75173"/>
    <w:rsid w:val="00F752D7"/>
    <w:rsid w:val="00F76D20"/>
    <w:rsid w:val="00F77EA6"/>
    <w:rsid w:val="00F80395"/>
    <w:rsid w:val="00F80C24"/>
    <w:rsid w:val="00F80F14"/>
    <w:rsid w:val="00F81167"/>
    <w:rsid w:val="00F81EE1"/>
    <w:rsid w:val="00F848A6"/>
    <w:rsid w:val="00F84A2A"/>
    <w:rsid w:val="00F8504F"/>
    <w:rsid w:val="00F855D6"/>
    <w:rsid w:val="00F85981"/>
    <w:rsid w:val="00F8599C"/>
    <w:rsid w:val="00F85C71"/>
    <w:rsid w:val="00F86237"/>
    <w:rsid w:val="00F86986"/>
    <w:rsid w:val="00F874C8"/>
    <w:rsid w:val="00F879F7"/>
    <w:rsid w:val="00F87CB1"/>
    <w:rsid w:val="00F90B4C"/>
    <w:rsid w:val="00F90F59"/>
    <w:rsid w:val="00F92302"/>
    <w:rsid w:val="00F92C03"/>
    <w:rsid w:val="00F93D1E"/>
    <w:rsid w:val="00F94B4D"/>
    <w:rsid w:val="00F956B8"/>
    <w:rsid w:val="00F977D2"/>
    <w:rsid w:val="00F97EA5"/>
    <w:rsid w:val="00FA16FA"/>
    <w:rsid w:val="00FA1897"/>
    <w:rsid w:val="00FA1F1B"/>
    <w:rsid w:val="00FA2647"/>
    <w:rsid w:val="00FA2658"/>
    <w:rsid w:val="00FA2E1E"/>
    <w:rsid w:val="00FA30B9"/>
    <w:rsid w:val="00FA3C34"/>
    <w:rsid w:val="00FA4192"/>
    <w:rsid w:val="00FA59C2"/>
    <w:rsid w:val="00FA7429"/>
    <w:rsid w:val="00FB0067"/>
    <w:rsid w:val="00FB1720"/>
    <w:rsid w:val="00FB238A"/>
    <w:rsid w:val="00FB3237"/>
    <w:rsid w:val="00FB3A3F"/>
    <w:rsid w:val="00FB418C"/>
    <w:rsid w:val="00FB4370"/>
    <w:rsid w:val="00FB50CE"/>
    <w:rsid w:val="00FB5304"/>
    <w:rsid w:val="00FB5F3A"/>
    <w:rsid w:val="00FB6C7B"/>
    <w:rsid w:val="00FB73FF"/>
    <w:rsid w:val="00FC1802"/>
    <w:rsid w:val="00FC2F35"/>
    <w:rsid w:val="00FC3448"/>
    <w:rsid w:val="00FC408F"/>
    <w:rsid w:val="00FC502A"/>
    <w:rsid w:val="00FC5953"/>
    <w:rsid w:val="00FC651B"/>
    <w:rsid w:val="00FC696D"/>
    <w:rsid w:val="00FC6A84"/>
    <w:rsid w:val="00FC6BBD"/>
    <w:rsid w:val="00FC7018"/>
    <w:rsid w:val="00FD0684"/>
    <w:rsid w:val="00FD11B4"/>
    <w:rsid w:val="00FD15F9"/>
    <w:rsid w:val="00FD262C"/>
    <w:rsid w:val="00FD45A4"/>
    <w:rsid w:val="00FD45EF"/>
    <w:rsid w:val="00FD45F2"/>
    <w:rsid w:val="00FD470B"/>
    <w:rsid w:val="00FD4779"/>
    <w:rsid w:val="00FD4BFC"/>
    <w:rsid w:val="00FD4C6A"/>
    <w:rsid w:val="00FD71DE"/>
    <w:rsid w:val="00FE02F9"/>
    <w:rsid w:val="00FE0EE6"/>
    <w:rsid w:val="00FE150A"/>
    <w:rsid w:val="00FE166A"/>
    <w:rsid w:val="00FE39ED"/>
    <w:rsid w:val="00FE4224"/>
    <w:rsid w:val="00FE49D2"/>
    <w:rsid w:val="00FE50EC"/>
    <w:rsid w:val="00FE5B69"/>
    <w:rsid w:val="00FE68CD"/>
    <w:rsid w:val="00FE705F"/>
    <w:rsid w:val="00FE73D5"/>
    <w:rsid w:val="00FE763F"/>
    <w:rsid w:val="00FF0F16"/>
    <w:rsid w:val="00FF145F"/>
    <w:rsid w:val="00FF24E8"/>
    <w:rsid w:val="00FF4EEB"/>
    <w:rsid w:val="00FF5371"/>
    <w:rsid w:val="00FF5831"/>
    <w:rsid w:val="00FF5A26"/>
    <w:rsid w:val="00FF5AB4"/>
    <w:rsid w:val="00FF6238"/>
    <w:rsid w:val="00FF63D8"/>
    <w:rsid w:val="00FF6BAB"/>
    <w:rsid w:val="02A22576"/>
    <w:rsid w:val="02B11931"/>
    <w:rsid w:val="02D33564"/>
    <w:rsid w:val="033D4FEA"/>
    <w:rsid w:val="044444FF"/>
    <w:rsid w:val="054A240B"/>
    <w:rsid w:val="05F21F4E"/>
    <w:rsid w:val="06183F57"/>
    <w:rsid w:val="061C1877"/>
    <w:rsid w:val="071369A9"/>
    <w:rsid w:val="073F3655"/>
    <w:rsid w:val="07523012"/>
    <w:rsid w:val="075353C3"/>
    <w:rsid w:val="075F62F7"/>
    <w:rsid w:val="07893A78"/>
    <w:rsid w:val="07F06D1D"/>
    <w:rsid w:val="08482DB0"/>
    <w:rsid w:val="085801E9"/>
    <w:rsid w:val="08EB4C05"/>
    <w:rsid w:val="091122DA"/>
    <w:rsid w:val="09976E4D"/>
    <w:rsid w:val="0A3F2CAD"/>
    <w:rsid w:val="0A8F57D7"/>
    <w:rsid w:val="0ABF7AFD"/>
    <w:rsid w:val="0B1343B9"/>
    <w:rsid w:val="0B187EF4"/>
    <w:rsid w:val="0C4E60AC"/>
    <w:rsid w:val="0CE353B4"/>
    <w:rsid w:val="0D5B5ADE"/>
    <w:rsid w:val="0E7368DB"/>
    <w:rsid w:val="0F036640"/>
    <w:rsid w:val="0F0F1561"/>
    <w:rsid w:val="0F7A6E07"/>
    <w:rsid w:val="0F907655"/>
    <w:rsid w:val="0FF974F3"/>
    <w:rsid w:val="107C1CA9"/>
    <w:rsid w:val="124536A0"/>
    <w:rsid w:val="126261A1"/>
    <w:rsid w:val="13B412BF"/>
    <w:rsid w:val="13DB7919"/>
    <w:rsid w:val="144D2643"/>
    <w:rsid w:val="145066F9"/>
    <w:rsid w:val="1452627F"/>
    <w:rsid w:val="147902C2"/>
    <w:rsid w:val="149364B1"/>
    <w:rsid w:val="15717947"/>
    <w:rsid w:val="15E12B08"/>
    <w:rsid w:val="161E62C6"/>
    <w:rsid w:val="16A4773E"/>
    <w:rsid w:val="171A05E0"/>
    <w:rsid w:val="17E263BA"/>
    <w:rsid w:val="18653181"/>
    <w:rsid w:val="18C333E1"/>
    <w:rsid w:val="19B041BB"/>
    <w:rsid w:val="1A303059"/>
    <w:rsid w:val="1A3D36A0"/>
    <w:rsid w:val="1AC768DC"/>
    <w:rsid w:val="1B4E229A"/>
    <w:rsid w:val="1BD6185D"/>
    <w:rsid w:val="1C206618"/>
    <w:rsid w:val="1C4A09B1"/>
    <w:rsid w:val="1CAB50E0"/>
    <w:rsid w:val="1CC82DEC"/>
    <w:rsid w:val="1D4A0AAF"/>
    <w:rsid w:val="1DED5D73"/>
    <w:rsid w:val="1DF12E41"/>
    <w:rsid w:val="1E144005"/>
    <w:rsid w:val="1E2A2D06"/>
    <w:rsid w:val="1E8C69FE"/>
    <w:rsid w:val="1EDF7432"/>
    <w:rsid w:val="1F9A7BD7"/>
    <w:rsid w:val="1FCB227D"/>
    <w:rsid w:val="20D9595D"/>
    <w:rsid w:val="20F937D9"/>
    <w:rsid w:val="210D324F"/>
    <w:rsid w:val="217D6B7B"/>
    <w:rsid w:val="21926233"/>
    <w:rsid w:val="21A61B8A"/>
    <w:rsid w:val="223C5494"/>
    <w:rsid w:val="22AA4B94"/>
    <w:rsid w:val="23190B17"/>
    <w:rsid w:val="232468AF"/>
    <w:rsid w:val="23523208"/>
    <w:rsid w:val="23D743AC"/>
    <w:rsid w:val="23EA7D8E"/>
    <w:rsid w:val="24237928"/>
    <w:rsid w:val="247C3D6D"/>
    <w:rsid w:val="255C0E44"/>
    <w:rsid w:val="25896CAB"/>
    <w:rsid w:val="26270B12"/>
    <w:rsid w:val="263F39CA"/>
    <w:rsid w:val="26C86447"/>
    <w:rsid w:val="274C2B43"/>
    <w:rsid w:val="277A6266"/>
    <w:rsid w:val="2781743A"/>
    <w:rsid w:val="27C5580F"/>
    <w:rsid w:val="27FC0C27"/>
    <w:rsid w:val="28036EC1"/>
    <w:rsid w:val="29A414C7"/>
    <w:rsid w:val="29E673A4"/>
    <w:rsid w:val="2A3F51A7"/>
    <w:rsid w:val="2A5322EB"/>
    <w:rsid w:val="2AD80E49"/>
    <w:rsid w:val="2B0348E6"/>
    <w:rsid w:val="2B7E5499"/>
    <w:rsid w:val="2B8D1029"/>
    <w:rsid w:val="2C5300F1"/>
    <w:rsid w:val="2C5C156F"/>
    <w:rsid w:val="2DEC60E3"/>
    <w:rsid w:val="2E163F31"/>
    <w:rsid w:val="2EB73264"/>
    <w:rsid w:val="2F0F2988"/>
    <w:rsid w:val="2F1A63C2"/>
    <w:rsid w:val="2F2B7B51"/>
    <w:rsid w:val="2F5C1053"/>
    <w:rsid w:val="31F45D83"/>
    <w:rsid w:val="323D0BD9"/>
    <w:rsid w:val="327842F9"/>
    <w:rsid w:val="32B046E7"/>
    <w:rsid w:val="32D84626"/>
    <w:rsid w:val="32EC09E8"/>
    <w:rsid w:val="331139D7"/>
    <w:rsid w:val="339B5CD2"/>
    <w:rsid w:val="340C697A"/>
    <w:rsid w:val="3440126F"/>
    <w:rsid w:val="344D209F"/>
    <w:rsid w:val="34A72BD7"/>
    <w:rsid w:val="36184DBD"/>
    <w:rsid w:val="36406290"/>
    <w:rsid w:val="365E0679"/>
    <w:rsid w:val="37157C0F"/>
    <w:rsid w:val="37C0418E"/>
    <w:rsid w:val="37CF415F"/>
    <w:rsid w:val="37FB646E"/>
    <w:rsid w:val="386B1363"/>
    <w:rsid w:val="38742570"/>
    <w:rsid w:val="38BA773A"/>
    <w:rsid w:val="38C40852"/>
    <w:rsid w:val="3A724330"/>
    <w:rsid w:val="3AD12D9B"/>
    <w:rsid w:val="3B1A647F"/>
    <w:rsid w:val="3B9D394B"/>
    <w:rsid w:val="3C345ED9"/>
    <w:rsid w:val="3CA12768"/>
    <w:rsid w:val="3CDC7869"/>
    <w:rsid w:val="3CEE3280"/>
    <w:rsid w:val="3D224F80"/>
    <w:rsid w:val="3D765233"/>
    <w:rsid w:val="3DA17664"/>
    <w:rsid w:val="3F4505B9"/>
    <w:rsid w:val="3FBE47B4"/>
    <w:rsid w:val="40BB3535"/>
    <w:rsid w:val="41031D18"/>
    <w:rsid w:val="41400B9D"/>
    <w:rsid w:val="4210778E"/>
    <w:rsid w:val="42571EB0"/>
    <w:rsid w:val="428A2EF4"/>
    <w:rsid w:val="42AE559F"/>
    <w:rsid w:val="434A5696"/>
    <w:rsid w:val="43DA1C7E"/>
    <w:rsid w:val="445A3116"/>
    <w:rsid w:val="447F21F0"/>
    <w:rsid w:val="46B11A95"/>
    <w:rsid w:val="46C2400A"/>
    <w:rsid w:val="47397E33"/>
    <w:rsid w:val="47525815"/>
    <w:rsid w:val="47583043"/>
    <w:rsid w:val="48694BFC"/>
    <w:rsid w:val="49762FF6"/>
    <w:rsid w:val="4A206775"/>
    <w:rsid w:val="4A9D2BF7"/>
    <w:rsid w:val="4B1D3025"/>
    <w:rsid w:val="4BE876C9"/>
    <w:rsid w:val="4BF42F20"/>
    <w:rsid w:val="4C450171"/>
    <w:rsid w:val="4CE21A4C"/>
    <w:rsid w:val="4D76734C"/>
    <w:rsid w:val="4D9D1BB3"/>
    <w:rsid w:val="4DB74971"/>
    <w:rsid w:val="4ED974D6"/>
    <w:rsid w:val="4F184AA1"/>
    <w:rsid w:val="4FA61186"/>
    <w:rsid w:val="4FBC7A83"/>
    <w:rsid w:val="4FD040E8"/>
    <w:rsid w:val="50470E49"/>
    <w:rsid w:val="50DD1ABB"/>
    <w:rsid w:val="51667901"/>
    <w:rsid w:val="52451B20"/>
    <w:rsid w:val="52575281"/>
    <w:rsid w:val="5472181D"/>
    <w:rsid w:val="54A3292A"/>
    <w:rsid w:val="5505704F"/>
    <w:rsid w:val="55126949"/>
    <w:rsid w:val="559B1D6D"/>
    <w:rsid w:val="55F079B8"/>
    <w:rsid w:val="560A03A4"/>
    <w:rsid w:val="560B62A2"/>
    <w:rsid w:val="562E6495"/>
    <w:rsid w:val="56355A6E"/>
    <w:rsid w:val="571F1092"/>
    <w:rsid w:val="57895F54"/>
    <w:rsid w:val="579776EC"/>
    <w:rsid w:val="58C54611"/>
    <w:rsid w:val="5B344B4C"/>
    <w:rsid w:val="5B4F243F"/>
    <w:rsid w:val="5B502B6C"/>
    <w:rsid w:val="5B5C391E"/>
    <w:rsid w:val="5B5C5A0E"/>
    <w:rsid w:val="5B5D6D4A"/>
    <w:rsid w:val="5BB424C1"/>
    <w:rsid w:val="5C431439"/>
    <w:rsid w:val="5CCD001C"/>
    <w:rsid w:val="5CF166C9"/>
    <w:rsid w:val="5CFD5E9B"/>
    <w:rsid w:val="5D411908"/>
    <w:rsid w:val="5DB6607F"/>
    <w:rsid w:val="5F2870C3"/>
    <w:rsid w:val="5F53066A"/>
    <w:rsid w:val="60BD4F83"/>
    <w:rsid w:val="61327E67"/>
    <w:rsid w:val="614B3464"/>
    <w:rsid w:val="618A347F"/>
    <w:rsid w:val="61F84920"/>
    <w:rsid w:val="62BB395D"/>
    <w:rsid w:val="630944B2"/>
    <w:rsid w:val="632B51AF"/>
    <w:rsid w:val="634E4D84"/>
    <w:rsid w:val="63762DFB"/>
    <w:rsid w:val="63867C9A"/>
    <w:rsid w:val="63B20BF6"/>
    <w:rsid w:val="63DF7D08"/>
    <w:rsid w:val="640506A4"/>
    <w:rsid w:val="64581257"/>
    <w:rsid w:val="6463551C"/>
    <w:rsid w:val="65A05038"/>
    <w:rsid w:val="660B6CC0"/>
    <w:rsid w:val="663A6766"/>
    <w:rsid w:val="66F7396D"/>
    <w:rsid w:val="684C40DB"/>
    <w:rsid w:val="684E3BFE"/>
    <w:rsid w:val="68516F96"/>
    <w:rsid w:val="68C97799"/>
    <w:rsid w:val="69D15ACC"/>
    <w:rsid w:val="6A1E3C46"/>
    <w:rsid w:val="6A741E1A"/>
    <w:rsid w:val="6A7872BD"/>
    <w:rsid w:val="6A96425E"/>
    <w:rsid w:val="6B8D39A5"/>
    <w:rsid w:val="6BAE2C35"/>
    <w:rsid w:val="6C1105EA"/>
    <w:rsid w:val="6C1B5E49"/>
    <w:rsid w:val="6C630DEF"/>
    <w:rsid w:val="6C6763EC"/>
    <w:rsid w:val="6C991A15"/>
    <w:rsid w:val="6CF358C1"/>
    <w:rsid w:val="6D991990"/>
    <w:rsid w:val="6E5059CB"/>
    <w:rsid w:val="6E540CB8"/>
    <w:rsid w:val="6EC64775"/>
    <w:rsid w:val="6F1D428F"/>
    <w:rsid w:val="71013B3E"/>
    <w:rsid w:val="71734416"/>
    <w:rsid w:val="7211718B"/>
    <w:rsid w:val="72165A12"/>
    <w:rsid w:val="72ED613A"/>
    <w:rsid w:val="73412BC3"/>
    <w:rsid w:val="737309E0"/>
    <w:rsid w:val="73860D91"/>
    <w:rsid w:val="741202F1"/>
    <w:rsid w:val="742D41A1"/>
    <w:rsid w:val="74552652"/>
    <w:rsid w:val="751E3ABE"/>
    <w:rsid w:val="753214DF"/>
    <w:rsid w:val="757F1456"/>
    <w:rsid w:val="76432BD6"/>
    <w:rsid w:val="765D7A02"/>
    <w:rsid w:val="769F2564"/>
    <w:rsid w:val="76FD0E1F"/>
    <w:rsid w:val="77161317"/>
    <w:rsid w:val="774E31B2"/>
    <w:rsid w:val="77DF39D4"/>
    <w:rsid w:val="782E7DD2"/>
    <w:rsid w:val="7927276C"/>
    <w:rsid w:val="7970093E"/>
    <w:rsid w:val="79742E09"/>
    <w:rsid w:val="797804FA"/>
    <w:rsid w:val="79B861C4"/>
    <w:rsid w:val="7AB41AA0"/>
    <w:rsid w:val="7AC23A07"/>
    <w:rsid w:val="7AEF2CC1"/>
    <w:rsid w:val="7B01510F"/>
    <w:rsid w:val="7B890E8C"/>
    <w:rsid w:val="7BA41302"/>
    <w:rsid w:val="7C902A38"/>
    <w:rsid w:val="7C9676E8"/>
    <w:rsid w:val="7D6E781B"/>
    <w:rsid w:val="7DE5073F"/>
    <w:rsid w:val="7E7733FB"/>
    <w:rsid w:val="7EAC13E4"/>
    <w:rsid w:val="7EE70074"/>
    <w:rsid w:val="7EEA67FE"/>
    <w:rsid w:val="7F4D6D66"/>
    <w:rsid w:val="7F520F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eastAsia="CG Times"/>
      <w:b/>
      <w:kern w:val="44"/>
      <w:sz w:val="36"/>
      <w:szCs w:val="20"/>
    </w:rPr>
  </w:style>
  <w:style w:type="paragraph" w:styleId="4">
    <w:name w:val="heading 2"/>
    <w:basedOn w:val="1"/>
    <w:next w:val="5"/>
    <w:link w:val="178"/>
    <w:qFormat/>
    <w:uiPriority w:val="0"/>
    <w:pPr>
      <w:keepNext/>
      <w:keepLines/>
      <w:spacing w:before="260" w:after="260" w:line="413" w:lineRule="auto"/>
      <w:jc w:val="center"/>
      <w:outlineLvl w:val="1"/>
    </w:pPr>
    <w:rPr>
      <w:rFonts w:ascii="Arial Black" w:hAnsi="Arial Black" w:eastAsia="Arial Narrow"/>
      <w:b/>
      <w:sz w:val="30"/>
    </w:rPr>
  </w:style>
  <w:style w:type="paragraph" w:styleId="6">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7">
    <w:name w:val="heading 4"/>
    <w:basedOn w:val="1"/>
    <w:next w:val="1"/>
    <w:qFormat/>
    <w:uiPriority w:val="0"/>
    <w:pPr>
      <w:keepNext/>
      <w:keepLines/>
      <w:spacing w:before="280" w:beforeLines="0" w:after="290" w:afterLines="0" w:line="372" w:lineRule="auto"/>
      <w:outlineLvl w:val="3"/>
    </w:pPr>
    <w:rPr>
      <w:rFonts w:ascii="Symbol" w:hAnsi="Symbol" w:eastAsia="CG Times"/>
      <w:b/>
      <w:bCs/>
      <w:sz w:val="28"/>
      <w:szCs w:val="28"/>
    </w:rPr>
  </w:style>
  <w:style w:type="paragraph" w:styleId="8">
    <w:name w:val="heading 5"/>
    <w:basedOn w:val="1"/>
    <w:next w:val="5"/>
    <w:link w:val="173"/>
    <w:qFormat/>
    <w:uiPriority w:val="0"/>
    <w:pPr>
      <w:keepNext/>
      <w:keepLines/>
      <w:spacing w:before="280" w:after="290" w:line="372" w:lineRule="auto"/>
      <w:outlineLvl w:val="4"/>
    </w:pPr>
    <w:rPr>
      <w:rFonts w:eastAsia="Arial Narrow"/>
      <w:b/>
      <w:sz w:val="28"/>
    </w:rPr>
  </w:style>
  <w:style w:type="paragraph" w:styleId="9">
    <w:name w:val="heading 6"/>
    <w:basedOn w:val="1"/>
    <w:next w:val="5"/>
    <w:qFormat/>
    <w:uiPriority w:val="0"/>
    <w:pPr>
      <w:keepNext/>
      <w:keepLines/>
      <w:spacing w:before="240" w:after="64" w:line="317" w:lineRule="auto"/>
      <w:outlineLvl w:val="5"/>
    </w:pPr>
    <w:rPr>
      <w:rFonts w:ascii="Symbol" w:hAnsi="Symbol" w:eastAsia="CG Times"/>
      <w:b/>
      <w:sz w:val="24"/>
      <w:szCs w:val="20"/>
    </w:rPr>
  </w:style>
  <w:style w:type="paragraph" w:styleId="10">
    <w:name w:val="heading 7"/>
    <w:basedOn w:val="1"/>
    <w:next w:val="5"/>
    <w:qFormat/>
    <w:uiPriority w:val="0"/>
    <w:pPr>
      <w:keepNext/>
      <w:keepLines/>
      <w:spacing w:before="240" w:after="64" w:line="317" w:lineRule="auto"/>
      <w:outlineLvl w:val="6"/>
    </w:pPr>
    <w:rPr>
      <w:b/>
      <w:sz w:val="24"/>
      <w:szCs w:val="20"/>
    </w:rPr>
  </w:style>
  <w:style w:type="paragraph" w:styleId="11">
    <w:name w:val="heading 8"/>
    <w:basedOn w:val="1"/>
    <w:next w:val="5"/>
    <w:qFormat/>
    <w:uiPriority w:val="0"/>
    <w:pPr>
      <w:keepNext/>
      <w:keepLines/>
      <w:spacing w:before="240" w:after="64" w:line="317" w:lineRule="auto"/>
      <w:outlineLvl w:val="7"/>
    </w:pPr>
    <w:rPr>
      <w:rFonts w:ascii="Symbol" w:hAnsi="Symbol" w:eastAsia="CG Times"/>
      <w:sz w:val="24"/>
      <w:szCs w:val="20"/>
    </w:rPr>
  </w:style>
  <w:style w:type="paragraph" w:styleId="12">
    <w:name w:val="heading 9"/>
    <w:basedOn w:val="1"/>
    <w:next w:val="5"/>
    <w:qFormat/>
    <w:uiPriority w:val="0"/>
    <w:pPr>
      <w:keepNext/>
      <w:keepLines/>
      <w:spacing w:before="240" w:after="64" w:line="317" w:lineRule="auto"/>
      <w:outlineLvl w:val="8"/>
    </w:pPr>
    <w:rPr>
      <w:rFonts w:ascii="Symbol" w:hAnsi="Symbol" w:eastAsia="CG Times"/>
      <w:szCs w:val="20"/>
    </w:rPr>
  </w:style>
  <w:style w:type="character" w:default="1" w:styleId="42">
    <w:name w:val="Default Paragraph Font"/>
    <w:qFormat/>
    <w:uiPriority w:val="0"/>
    <w:rPr>
      <w:rFonts w:ascii="Tahoma" w:hAnsi="Tahoma"/>
      <w:sz w:val="24"/>
      <w:szCs w:val="20"/>
    </w:rPr>
  </w:style>
  <w:style w:type="table" w:default="1" w:styleId="40">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480" w:firstLineChars="200"/>
      <w:jc w:val="left"/>
    </w:pPr>
    <w:rPr>
      <w:rFonts w:hAnsi="Arial Narrow"/>
      <w:sz w:val="24"/>
      <w:szCs w:val="21"/>
    </w:rPr>
  </w:style>
  <w:style w:type="paragraph" w:styleId="5">
    <w:name w:val="Normal Indent"/>
    <w:basedOn w:val="1"/>
    <w:link w:val="188"/>
    <w:qFormat/>
    <w:uiPriority w:val="0"/>
    <w:pPr>
      <w:ind w:firstLine="420"/>
    </w:pPr>
    <w:rPr>
      <w:rFonts w:eastAsia="Arial Narrow"/>
      <w:szCs w:val="20"/>
    </w:rPr>
  </w:style>
  <w:style w:type="paragraph" w:styleId="13">
    <w:name w:val="toc 7"/>
    <w:basedOn w:val="1"/>
    <w:next w:val="1"/>
    <w:semiHidden/>
    <w:qFormat/>
    <w:uiPriority w:val="0"/>
    <w:pPr>
      <w:ind w:left="2520" w:leftChars="1200"/>
    </w:pPr>
    <w:rPr>
      <w:rFonts w:ascii="Times New Roman" w:hAnsi="Times New Roman"/>
    </w:rPr>
  </w:style>
  <w:style w:type="paragraph" w:styleId="14">
    <w:name w:val="Document Map"/>
    <w:basedOn w:val="1"/>
    <w:qFormat/>
    <w:uiPriority w:val="0"/>
    <w:pPr>
      <w:shd w:val="clear" w:color="auto" w:fill="000080"/>
    </w:pPr>
  </w:style>
  <w:style w:type="paragraph" w:styleId="15">
    <w:name w:val="annotation text"/>
    <w:basedOn w:val="1"/>
    <w:link w:val="186"/>
    <w:qFormat/>
    <w:uiPriority w:val="0"/>
    <w:pPr>
      <w:jc w:val="left"/>
    </w:pPr>
  </w:style>
  <w:style w:type="paragraph" w:styleId="16">
    <w:name w:val="Salutation"/>
    <w:basedOn w:val="1"/>
    <w:next w:val="1"/>
    <w:link w:val="185"/>
    <w:qFormat/>
    <w:uiPriority w:val="0"/>
    <w:pPr>
      <w:adjustRightInd w:val="0"/>
      <w:spacing w:line="312" w:lineRule="atLeast"/>
      <w:textAlignment w:val="baseline"/>
    </w:pPr>
    <w:rPr>
      <w:rFonts w:ascii="Arial Narrow" w:eastAsia="Arial Narrow"/>
      <w:kern w:val="0"/>
      <w:sz w:val="24"/>
      <w:szCs w:val="20"/>
    </w:rPr>
  </w:style>
  <w:style w:type="paragraph" w:styleId="17">
    <w:name w:val="Closing"/>
    <w:basedOn w:val="1"/>
    <w:qFormat/>
    <w:uiPriority w:val="0"/>
    <w:pPr>
      <w:ind w:left="100" w:leftChars="2100"/>
    </w:pPr>
  </w:style>
  <w:style w:type="paragraph" w:styleId="18">
    <w:name w:val="Body Text"/>
    <w:basedOn w:val="1"/>
    <w:link w:val="182"/>
    <w:qFormat/>
    <w:uiPriority w:val="0"/>
    <w:pPr>
      <w:spacing w:after="120" w:afterLines="0"/>
    </w:pPr>
  </w:style>
  <w:style w:type="paragraph" w:styleId="19">
    <w:name w:val="Body Text Indent"/>
    <w:basedOn w:val="1"/>
    <w:link w:val="187"/>
    <w:qFormat/>
    <w:uiPriority w:val="0"/>
    <w:pPr>
      <w:spacing w:line="360" w:lineRule="auto"/>
      <w:ind w:firstLine="525"/>
    </w:pPr>
    <w:rPr>
      <w:rFonts w:ascii="Arial Narrow" w:hAnsi="Arial Narrow"/>
      <w:sz w:val="24"/>
      <w:szCs w:val="21"/>
    </w:rPr>
  </w:style>
  <w:style w:type="paragraph" w:styleId="20">
    <w:name w:val="toc 5"/>
    <w:basedOn w:val="1"/>
    <w:next w:val="1"/>
    <w:semiHidden/>
    <w:qFormat/>
    <w:uiPriority w:val="0"/>
    <w:pPr>
      <w:ind w:left="1680" w:leftChars="800"/>
    </w:pPr>
    <w:rPr>
      <w:rFonts w:ascii="Times New Roman" w:hAnsi="Times New Roman"/>
    </w:rPr>
  </w:style>
  <w:style w:type="paragraph" w:styleId="21">
    <w:name w:val="toc 3"/>
    <w:basedOn w:val="1"/>
    <w:next w:val="1"/>
    <w:qFormat/>
    <w:uiPriority w:val="39"/>
    <w:pPr>
      <w:widowControl/>
      <w:tabs>
        <w:tab w:val="right" w:leader="middleDot" w:pos="9030"/>
      </w:tabs>
      <w:spacing w:line="360" w:lineRule="auto"/>
      <w:ind w:left="1155" w:right="266"/>
      <w:jc w:val="left"/>
    </w:pPr>
    <w:rPr>
      <w:rFonts w:ascii="Arial Narrow" w:hAnsi="Arial Narrow"/>
      <w:b/>
      <w:kern w:val="0"/>
      <w:szCs w:val="20"/>
    </w:rPr>
  </w:style>
  <w:style w:type="paragraph" w:styleId="22">
    <w:name w:val="Plain Text"/>
    <w:basedOn w:val="1"/>
    <w:link w:val="169"/>
    <w:qFormat/>
    <w:uiPriority w:val="0"/>
    <w:rPr>
      <w:rFonts w:ascii="Arial Narrow" w:hAnsi="Times New Roman" w:eastAsia="Arial Narrow"/>
      <w:szCs w:val="20"/>
    </w:rPr>
  </w:style>
  <w:style w:type="paragraph" w:styleId="23">
    <w:name w:val="toc 8"/>
    <w:basedOn w:val="1"/>
    <w:next w:val="1"/>
    <w:semiHidden/>
    <w:qFormat/>
    <w:uiPriority w:val="0"/>
    <w:pPr>
      <w:ind w:left="2940" w:leftChars="1400"/>
    </w:pPr>
    <w:rPr>
      <w:rFonts w:ascii="Times New Roman" w:hAnsi="Times New Roman"/>
    </w:rPr>
  </w:style>
  <w:style w:type="paragraph" w:styleId="24">
    <w:name w:val="Date"/>
    <w:basedOn w:val="1"/>
    <w:next w:val="1"/>
    <w:link w:val="199"/>
    <w:qFormat/>
    <w:uiPriority w:val="0"/>
    <w:pPr>
      <w:ind w:left="100" w:leftChars="2500"/>
    </w:pPr>
    <w:rPr>
      <w:rFonts w:ascii="Arial Narrow" w:hAnsi="Arial Narrow" w:eastAsia="Arial Narrow"/>
      <w:sz w:val="24"/>
      <w:szCs w:val="21"/>
    </w:rPr>
  </w:style>
  <w:style w:type="paragraph" w:styleId="25">
    <w:name w:val="Balloon Text"/>
    <w:basedOn w:val="1"/>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link w:val="192"/>
    <w:qFormat/>
    <w:uiPriority w:val="0"/>
    <w:pPr>
      <w:pBdr>
        <w:bottom w:val="single" w:color="auto" w:sz="6" w:space="1"/>
      </w:pBdr>
      <w:tabs>
        <w:tab w:val="center" w:pos="4153"/>
        <w:tab w:val="right" w:pos="8306"/>
      </w:tabs>
      <w:snapToGrid w:val="0"/>
      <w:jc w:val="center"/>
    </w:pPr>
    <w:rPr>
      <w:rFonts w:eastAsia="Arial Narrow"/>
      <w:sz w:val="18"/>
      <w:szCs w:val="18"/>
    </w:rPr>
  </w:style>
  <w:style w:type="paragraph" w:styleId="28">
    <w:name w:val="toc 1"/>
    <w:basedOn w:val="1"/>
    <w:next w:val="1"/>
    <w:qFormat/>
    <w:uiPriority w:val="39"/>
  </w:style>
  <w:style w:type="paragraph" w:styleId="29">
    <w:name w:val="toc 4"/>
    <w:basedOn w:val="1"/>
    <w:next w:val="1"/>
    <w:qFormat/>
    <w:uiPriority w:val="0"/>
    <w:pPr>
      <w:ind w:left="1260"/>
    </w:pPr>
  </w:style>
  <w:style w:type="paragraph" w:styleId="30">
    <w:name w:val="toc 6"/>
    <w:basedOn w:val="1"/>
    <w:next w:val="1"/>
    <w:semiHidden/>
    <w:qFormat/>
    <w:uiPriority w:val="0"/>
    <w:pPr>
      <w:ind w:left="2100" w:leftChars="1000"/>
    </w:pPr>
    <w:rPr>
      <w:rFonts w:ascii="Times New Roman" w:hAnsi="Times New Roman"/>
    </w:rPr>
  </w:style>
  <w:style w:type="paragraph" w:styleId="31">
    <w:name w:val="Body Text Indent 3"/>
    <w:basedOn w:val="1"/>
    <w:qFormat/>
    <w:uiPriority w:val="0"/>
    <w:pPr>
      <w:spacing w:line="540" w:lineRule="atLeast"/>
      <w:ind w:firstLine="480" w:firstLineChars="200"/>
    </w:pPr>
    <w:rPr>
      <w:sz w:val="24"/>
    </w:rPr>
  </w:style>
  <w:style w:type="paragraph" w:styleId="32">
    <w:name w:val="table of figures"/>
    <w:basedOn w:val="1"/>
    <w:next w:val="1"/>
    <w:qFormat/>
    <w:uiPriority w:val="0"/>
    <w:pPr>
      <w:ind w:leftChars="200" w:hanging="200" w:hangingChars="200"/>
    </w:pPr>
  </w:style>
  <w:style w:type="paragraph" w:styleId="33">
    <w:name w:val="toc 2"/>
    <w:basedOn w:val="1"/>
    <w:next w:val="1"/>
    <w:qFormat/>
    <w:uiPriority w:val="39"/>
    <w:pPr>
      <w:spacing w:line="360" w:lineRule="auto"/>
      <w:ind w:left="200" w:leftChars="200"/>
    </w:pPr>
    <w:rPr>
      <w:sz w:val="24"/>
    </w:rPr>
  </w:style>
  <w:style w:type="paragraph" w:styleId="34">
    <w:name w:val="toc 9"/>
    <w:basedOn w:val="1"/>
    <w:next w:val="1"/>
    <w:semiHidden/>
    <w:qFormat/>
    <w:uiPriority w:val="0"/>
    <w:pPr>
      <w:ind w:left="3360" w:leftChars="1600"/>
    </w:pPr>
    <w:rPr>
      <w:rFonts w:ascii="Times New Roman" w:hAnsi="Times New Roman"/>
    </w:rPr>
  </w:style>
  <w:style w:type="paragraph" w:styleId="35">
    <w:name w:val="Body Text 2"/>
    <w:basedOn w:val="1"/>
    <w:qFormat/>
    <w:uiPriority w:val="0"/>
    <w:pPr>
      <w:spacing w:after="120" w:afterLines="0" w:line="480" w:lineRule="auto"/>
    </w:pPr>
  </w:style>
  <w:style w:type="paragraph" w:styleId="36">
    <w:name w:val="Normal (Web)"/>
    <w:basedOn w:val="1"/>
    <w:qFormat/>
    <w:uiPriority w:val="0"/>
    <w:pPr>
      <w:widowControl/>
      <w:spacing w:before="100" w:beforeLines="0" w:beforeAutospacing="1" w:after="100" w:afterLines="0" w:afterAutospacing="1"/>
      <w:jc w:val="left"/>
    </w:pPr>
    <w:rPr>
      <w:rFonts w:ascii="Arial Narrow" w:hAnsi="Arial Narrow" w:cs="Arial Narrow"/>
      <w:kern w:val="0"/>
      <w:sz w:val="24"/>
    </w:rPr>
  </w:style>
  <w:style w:type="paragraph" w:styleId="37">
    <w:name w:val="index 1"/>
    <w:basedOn w:val="1"/>
    <w:next w:val="1"/>
    <w:qFormat/>
    <w:uiPriority w:val="0"/>
  </w:style>
  <w:style w:type="paragraph" w:styleId="38">
    <w:name w:val="Title"/>
    <w:basedOn w:val="1"/>
    <w:next w:val="1"/>
    <w:qFormat/>
    <w:uiPriority w:val="0"/>
    <w:pPr>
      <w:jc w:val="center"/>
      <w:outlineLvl w:val="0"/>
    </w:pPr>
    <w:rPr>
      <w:rFonts w:ascii="Arial" w:hAnsi="Arial"/>
      <w:b/>
      <w:bCs/>
      <w:sz w:val="32"/>
      <w:szCs w:val="32"/>
    </w:rPr>
  </w:style>
  <w:style w:type="paragraph" w:styleId="39">
    <w:name w:val="annotation subject"/>
    <w:basedOn w:val="15"/>
    <w:next w:val="15"/>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Emphasis"/>
    <w:qFormat/>
    <w:uiPriority w:val="20"/>
    <w:rPr>
      <w:rFonts w:ascii="ˎ̥" w:hAnsi="ˎ̥" w:eastAsia="CG Times"/>
      <w:b/>
      <w:spacing w:val="0"/>
      <w:sz w:val="21"/>
      <w:lang w:eastAsia="zh-CN"/>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50">
    <w:name w:val="纯文本1"/>
    <w:basedOn w:val="1"/>
    <w:qFormat/>
    <w:uiPriority w:val="0"/>
    <w:rPr>
      <w:rFonts w:ascii="宋体" w:hAnsi="Courier New"/>
      <w:szCs w:val="20"/>
    </w:rPr>
  </w:style>
  <w:style w:type="paragraph" w:customStyle="1" w:styleId="51">
    <w:name w:val="Char Char2 Char Char"/>
    <w:basedOn w:val="14"/>
    <w:qFormat/>
    <w:uiPriority w:val="0"/>
    <w:rPr>
      <w:rFonts w:ascii="Calibri" w:hAnsi="Calibri"/>
      <w:szCs w:val="22"/>
    </w:rPr>
  </w:style>
  <w:style w:type="paragraph" w:customStyle="1" w:styleId="52">
    <w:name w:val="Char Char3"/>
    <w:basedOn w:val="1"/>
    <w:qFormat/>
    <w:uiPriority w:val="0"/>
    <w:rPr>
      <w:rFonts w:ascii="Tahoma" w:hAnsi="Tahoma"/>
      <w:sz w:val="24"/>
      <w:szCs w:val="20"/>
    </w:rPr>
  </w:style>
  <w:style w:type="paragraph" w:customStyle="1" w:styleId="53">
    <w:name w:val="xl22"/>
    <w:basedOn w:val="1"/>
    <w:qFormat/>
    <w:uiPriority w:val="0"/>
    <w:pPr>
      <w:widowControl/>
      <w:spacing w:before="100" w:beforeLines="0" w:beforeAutospacing="1" w:after="100" w:afterLines="0" w:afterAutospacing="1"/>
      <w:jc w:val="center"/>
    </w:pPr>
    <w:rPr>
      <w:rFonts w:ascii="Arial Narrow" w:hAnsi="Arial Narrow"/>
      <w:kern w:val="0"/>
      <w:sz w:val="24"/>
      <w:szCs w:val="20"/>
    </w:rPr>
  </w:style>
  <w:style w:type="paragraph" w:customStyle="1" w:styleId="54">
    <w:name w:val="1 Char Char Char"/>
    <w:basedOn w:val="1"/>
    <w:next w:val="6"/>
    <w:qFormat/>
    <w:uiPriority w:val="0"/>
    <w:pPr>
      <w:spacing w:line="500" w:lineRule="exact"/>
      <w:ind w:firstLine="200"/>
      <w:jc w:val="center"/>
    </w:pPr>
    <w:rPr>
      <w:rFonts w:ascii="Times" w:hAnsi="Symbol" w:eastAsia="Times" w:cs="Symbol"/>
      <w:bCs/>
      <w:sz w:val="32"/>
      <w:szCs w:val="32"/>
    </w:rPr>
  </w:style>
  <w:style w:type="paragraph" w:customStyle="1" w:styleId="5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6">
    <w:name w:val="正文_0_8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3"/>
    <w:basedOn w:val="14"/>
    <w:qFormat/>
    <w:uiPriority w:val="0"/>
    <w:rPr>
      <w:rFonts w:ascii="Times New Roman" w:hAnsi="Times New Roman"/>
    </w:rPr>
  </w:style>
  <w:style w:type="paragraph" w:customStyle="1" w:styleId="5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
    <w:name w:val=" Char Char2 Char Char"/>
    <w:basedOn w:val="14"/>
    <w:qFormat/>
    <w:uiPriority w:val="0"/>
    <w:rPr>
      <w:rFonts w:ascii="Calibri" w:hAnsi="Calibri"/>
      <w:szCs w:val="22"/>
    </w:rPr>
  </w:style>
  <w:style w:type="paragraph" w:customStyle="1" w:styleId="61">
    <w:name w:val="默认段落字体 Para Char"/>
    <w:basedOn w:val="1"/>
    <w:qFormat/>
    <w:uiPriority w:val="0"/>
    <w:pPr>
      <w:spacing w:line="500" w:lineRule="exact"/>
    </w:pPr>
    <w:rPr>
      <w:rFonts w:ascii="宋体" w:hAnsi="宋体"/>
      <w:kern w:val="0"/>
      <w:sz w:val="24"/>
    </w:rPr>
  </w:style>
  <w:style w:type="paragraph" w:customStyle="1" w:styleId="6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6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4">
    <w:name w:val="正文_14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Char Char Char Char"/>
    <w:basedOn w:val="1"/>
    <w:qFormat/>
    <w:uiPriority w:val="0"/>
    <w:rPr>
      <w:rFonts w:ascii="HYg2gj" w:hAnsi="HYg2gj"/>
      <w:sz w:val="24"/>
      <w:szCs w:val="20"/>
    </w:rPr>
  </w:style>
  <w:style w:type="paragraph" w:customStyle="1" w:styleId="66">
    <w:name w:val="样式 宋体 行距1.5"/>
    <w:basedOn w:val="1"/>
    <w:qFormat/>
    <w:uiPriority w:val="0"/>
    <w:pPr>
      <w:jc w:val="center"/>
    </w:pPr>
    <w:rPr>
      <w:rFonts w:ascii="宋体" w:hAnsi="宋体" w:cs="宋体"/>
      <w:szCs w:val="20"/>
    </w:rPr>
  </w:style>
  <w:style w:type="paragraph" w:customStyle="1" w:styleId="67">
    <w:name w:val="正文_23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_Style 67"/>
    <w:basedOn w:val="1"/>
    <w:next w:val="1"/>
    <w:qFormat/>
    <w:uiPriority w:val="0"/>
    <w:pPr>
      <w:pBdr>
        <w:bottom w:val="single" w:color="auto" w:sz="6" w:space="1"/>
      </w:pBdr>
      <w:jc w:val="center"/>
    </w:pPr>
    <w:rPr>
      <w:rFonts w:ascii="Symbol" w:hAnsi="Symbol" w:cs="Symbol"/>
      <w:vanish/>
      <w:sz w:val="16"/>
      <w:szCs w:val="16"/>
    </w:rPr>
  </w:style>
  <w:style w:type="paragraph" w:customStyle="1" w:styleId="69">
    <w:name w:val="Char Char2 Char"/>
    <w:basedOn w:val="1"/>
    <w:qFormat/>
    <w:uiPriority w:val="0"/>
    <w:rPr>
      <w:rFonts w:ascii="HYg2gj" w:hAnsi="HYg2gj"/>
      <w:sz w:val="24"/>
      <w:szCs w:val="20"/>
    </w:rPr>
  </w:style>
  <w:style w:type="paragraph" w:customStyle="1" w:styleId="70">
    <w:name w:val="正文样式"/>
    <w:basedOn w:val="1"/>
    <w:link w:val="181"/>
    <w:qFormat/>
    <w:uiPriority w:val="0"/>
    <w:pPr>
      <w:spacing w:line="360" w:lineRule="auto"/>
      <w:ind w:firstLine="200" w:firstLineChars="200"/>
      <w:jc w:val="left"/>
    </w:pPr>
    <w:rPr>
      <w:rFonts w:ascii="Calibri" w:hAnsi="Calibri"/>
      <w:sz w:val="28"/>
      <w:szCs w:val="21"/>
    </w:rPr>
  </w:style>
  <w:style w:type="paragraph" w:customStyle="1" w:styleId="71">
    <w:name w:val="正文段"/>
    <w:basedOn w:val="1"/>
    <w:qFormat/>
    <w:uiPriority w:val="0"/>
    <w:pPr>
      <w:spacing w:line="360" w:lineRule="auto"/>
      <w:ind w:firstLine="420"/>
    </w:pPr>
    <w:rPr>
      <w:rFonts w:ascii="Arial Narrow"/>
      <w:sz w:val="24"/>
    </w:rPr>
  </w:style>
  <w:style w:type="paragraph" w:customStyle="1" w:styleId="72">
    <w:name w:val="正文_10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图片"/>
    <w:basedOn w:val="5"/>
    <w:next w:val="5"/>
    <w:link w:val="180"/>
    <w:qFormat/>
    <w:uiPriority w:val="0"/>
    <w:pPr>
      <w:spacing w:line="360" w:lineRule="auto"/>
      <w:ind w:firstLine="0"/>
      <w:jc w:val="center"/>
    </w:pPr>
    <w:rPr>
      <w:rFonts w:eastAsia="宋体"/>
      <w:sz w:val="24"/>
    </w:rPr>
  </w:style>
  <w:style w:type="paragraph" w:customStyle="1" w:styleId="7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75">
    <w:name w:val="Char Char Char Char Char Char Char Char Char Char"/>
    <w:basedOn w:val="1"/>
    <w:qFormat/>
    <w:uiPriority w:val="0"/>
    <w:rPr>
      <w:rFonts w:ascii="HYg2gj" w:hAnsi="HYg2gj"/>
      <w:sz w:val="24"/>
      <w:szCs w:val="20"/>
    </w:rPr>
  </w:style>
  <w:style w:type="paragraph" w:customStyle="1" w:styleId="76">
    <w:name w:val="列出段落2"/>
    <w:basedOn w:val="1"/>
    <w:qFormat/>
    <w:uiPriority w:val="34"/>
    <w:pPr>
      <w:ind w:firstLine="420" w:firstLineChars="200"/>
    </w:pPr>
    <w:rPr>
      <w:rFonts w:ascii="Calibri" w:hAnsi="Calibri"/>
      <w:szCs w:val="22"/>
    </w:rPr>
  </w:style>
  <w:style w:type="paragraph" w:customStyle="1" w:styleId="77">
    <w:name w:val=" Char Char Char"/>
    <w:basedOn w:val="1"/>
    <w:qFormat/>
    <w:uiPriority w:val="0"/>
    <w:pPr>
      <w:tabs>
        <w:tab w:val="left" w:pos="920"/>
      </w:tabs>
      <w:ind w:left="625" w:hanging="425"/>
    </w:pPr>
    <w:rPr>
      <w:rFonts w:ascii="Times New Roman" w:hAnsi="Times New Roman"/>
    </w:rPr>
  </w:style>
  <w:style w:type="paragraph" w:customStyle="1" w:styleId="7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79">
    <w:name w:val="List Paragraph"/>
    <w:basedOn w:val="1"/>
    <w:link w:val="189"/>
    <w:qFormat/>
    <w:uiPriority w:val="34"/>
    <w:pPr>
      <w:ind w:firstLine="420" w:firstLineChars="200"/>
    </w:pPr>
    <w:rPr>
      <w:rFonts w:ascii="Calibri" w:hAnsi="Calibri"/>
      <w:szCs w:val="22"/>
    </w:rPr>
  </w:style>
  <w:style w:type="paragraph" w:customStyle="1" w:styleId="80">
    <w:name w:val="样式1"/>
    <w:basedOn w:val="1"/>
    <w:qFormat/>
    <w:uiPriority w:val="0"/>
    <w:pPr>
      <w:spacing w:line="360" w:lineRule="auto"/>
      <w:jc w:val="center"/>
    </w:pPr>
    <w:rPr>
      <w:rFonts w:ascii="Arial Narrow" w:hAnsi="Arial Narrow"/>
      <w:b/>
      <w:sz w:val="32"/>
      <w:szCs w:val="30"/>
    </w:rPr>
  </w:style>
  <w:style w:type="paragraph" w:customStyle="1" w:styleId="81">
    <w:name w:val="19"/>
    <w:basedOn w:val="1"/>
    <w:qFormat/>
    <w:uiPriority w:val="0"/>
    <w:pPr>
      <w:widowControl/>
      <w:snapToGrid w:val="0"/>
      <w:spacing w:before="100" w:beforeLines="0" w:beforeAutospacing="1" w:after="120" w:afterLines="0" w:line="360" w:lineRule="atLeast"/>
      <w:jc w:val="left"/>
    </w:pPr>
    <w:rPr>
      <w:rFonts w:ascii="Arial Narrow" w:hAnsi="Arial Narrow"/>
      <w:kern w:val="0"/>
      <w:sz w:val="28"/>
      <w:szCs w:val="20"/>
    </w:rPr>
  </w:style>
  <w:style w:type="paragraph" w:customStyle="1" w:styleId="8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83">
    <w:name w:val="font6"/>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84">
    <w:name w:val="末级"/>
    <w:basedOn w:val="1"/>
    <w:qFormat/>
    <w:uiPriority w:val="0"/>
    <w:pPr>
      <w:tabs>
        <w:tab w:val="left" w:pos="705"/>
      </w:tabs>
      <w:spacing w:line="360" w:lineRule="auto"/>
      <w:ind w:left="705" w:firstLine="510"/>
    </w:pPr>
    <w:rPr>
      <w:sz w:val="24"/>
    </w:rPr>
  </w:style>
  <w:style w:type="paragraph" w:customStyle="1" w:styleId="8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86">
    <w:name w:val="Default"/>
    <w:qFormat/>
    <w:uiPriority w:val="0"/>
    <w:pPr>
      <w:widowControl w:val="0"/>
      <w:autoSpaceDE w:val="0"/>
      <w:autoSpaceDN w:val="0"/>
      <w:adjustRightInd w:val="0"/>
    </w:pPr>
    <w:rPr>
      <w:rFonts w:ascii="Arial Narrow" w:hAnsi="Calibri" w:eastAsia="宋体" w:cs="Times New Roman"/>
      <w:color w:val="000000"/>
      <w:sz w:val="24"/>
      <w:szCs w:val="24"/>
      <w:lang w:val="en-US" w:eastAsia="zh-CN" w:bidi="ar-SA"/>
    </w:rPr>
  </w:style>
  <w:style w:type="paragraph" w:customStyle="1" w:styleId="87">
    <w:name w:val="0"/>
    <w:basedOn w:val="1"/>
    <w:qFormat/>
    <w:uiPriority w:val="0"/>
    <w:pPr>
      <w:widowControl/>
    </w:pPr>
    <w:rPr>
      <w:kern w:val="0"/>
      <w:szCs w:val="20"/>
    </w:rPr>
  </w:style>
  <w:style w:type="paragraph" w:customStyle="1" w:styleId="8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89">
    <w:name w:val=" Char Char3 Char Char"/>
    <w:basedOn w:val="1"/>
    <w:qFormat/>
    <w:uiPriority w:val="0"/>
    <w:rPr>
      <w:rFonts w:ascii="Tahoma" w:hAnsi="Tahoma"/>
      <w:sz w:val="24"/>
      <w:szCs w:val="20"/>
    </w:rPr>
  </w:style>
  <w:style w:type="paragraph" w:customStyle="1" w:styleId="90">
    <w:name w:val="xl100"/>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91">
    <w:name w:val=" Char Char2 Char"/>
    <w:basedOn w:val="1"/>
    <w:qFormat/>
    <w:uiPriority w:val="0"/>
    <w:rPr>
      <w:rFonts w:ascii="HYg2gj" w:hAnsi="HYg2gj"/>
      <w:sz w:val="24"/>
      <w:szCs w:val="20"/>
    </w:rPr>
  </w:style>
  <w:style w:type="paragraph" w:customStyle="1" w:styleId="92">
    <w:name w:val=" Char Char Char1 Char"/>
    <w:basedOn w:val="14"/>
    <w:qFormat/>
    <w:uiPriority w:val="0"/>
    <w:rPr>
      <w:rFonts w:ascii="Tahoma" w:hAnsi="Tahoma"/>
      <w:sz w:val="24"/>
    </w:rPr>
  </w:style>
  <w:style w:type="paragraph" w:customStyle="1" w:styleId="93">
    <w:name w:val="样式3"/>
    <w:basedOn w:val="22"/>
    <w:link w:val="198"/>
    <w:qFormat/>
    <w:uiPriority w:val="0"/>
    <w:pPr>
      <w:spacing w:line="0" w:lineRule="atLeast"/>
      <w:outlineLvl w:val="0"/>
    </w:pPr>
    <w:rPr>
      <w:rFonts w:hAnsi="黑体"/>
      <w:sz w:val="28"/>
    </w:rPr>
  </w:style>
  <w:style w:type="paragraph" w:customStyle="1" w:styleId="94">
    <w:name w:val="Plain Text"/>
    <w:basedOn w:val="1"/>
    <w:qFormat/>
    <w:uiPriority w:val="0"/>
    <w:rPr>
      <w:rFonts w:ascii="宋体" w:hAnsi="Courier New"/>
    </w:rPr>
  </w:style>
  <w:style w:type="paragraph" w:customStyle="1" w:styleId="9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9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9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9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00">
    <w:name w:val="表1"/>
    <w:basedOn w:val="1"/>
    <w:qFormat/>
    <w:uiPriority w:val="0"/>
    <w:pPr>
      <w:tabs>
        <w:tab w:val="left" w:pos="720"/>
      </w:tabs>
      <w:overflowPunct w:val="0"/>
      <w:autoSpaceDE w:val="0"/>
      <w:autoSpaceDN w:val="0"/>
      <w:adjustRightInd w:val="0"/>
      <w:spacing w:before="200" w:beforeLines="0" w:line="320" w:lineRule="atLeast"/>
      <w:ind w:left="705" w:hanging="705"/>
      <w:textAlignment w:val="baseline"/>
    </w:pPr>
    <w:rPr>
      <w:kern w:val="0"/>
      <w:sz w:val="24"/>
      <w:szCs w:val="20"/>
    </w:rPr>
  </w:style>
  <w:style w:type="paragraph" w:customStyle="1" w:styleId="101">
    <w:name w:val="正文_7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footer"/>
    <w:basedOn w:val="1"/>
    <w:qFormat/>
    <w:uiPriority w:val="0"/>
    <w:pPr>
      <w:tabs>
        <w:tab w:val="center" w:pos="4153"/>
        <w:tab w:val="right" w:pos="8306"/>
      </w:tabs>
      <w:snapToGrid w:val="0"/>
      <w:jc w:val="left"/>
    </w:pPr>
    <w:rPr>
      <w:sz w:val="18"/>
    </w:rPr>
  </w:style>
  <w:style w:type="paragraph" w:customStyle="1" w:styleId="103">
    <w:name w:val="报告正文"/>
    <w:basedOn w:val="1"/>
    <w:qFormat/>
    <w:uiPriority w:val="0"/>
    <w:pPr>
      <w:spacing w:line="400" w:lineRule="exact"/>
      <w:ind w:firstLine="482"/>
    </w:pPr>
    <w:rPr>
      <w:sz w:val="24"/>
    </w:rPr>
  </w:style>
  <w:style w:type="paragraph" w:customStyle="1" w:styleId="10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5">
    <w:name w:val="Char Char3 Char Char Char Char"/>
    <w:basedOn w:val="1"/>
    <w:qFormat/>
    <w:uiPriority w:val="0"/>
    <w:rPr>
      <w:rFonts w:ascii="Tahoma" w:hAnsi="Tahoma"/>
      <w:sz w:val="24"/>
      <w:szCs w:val="20"/>
    </w:rPr>
  </w:style>
  <w:style w:type="paragraph" w:customStyle="1" w:styleId="106">
    <w:name w:val="Normal1"/>
    <w:next w:val="1"/>
    <w:qFormat/>
    <w:uiPriority w:val="0"/>
    <w:pPr>
      <w:overflowPunct w:val="0"/>
      <w:autoSpaceDE w:val="0"/>
      <w:autoSpaceDN w:val="0"/>
      <w:adjustRightInd w:val="0"/>
      <w:textAlignment w:val="baseline"/>
    </w:pPr>
    <w:rPr>
      <w:rFonts w:ascii="Tahoma" w:hAnsi="Tahoma" w:eastAsia="宋体" w:cs="Times New Roman"/>
      <w:sz w:val="24"/>
      <w:lang w:val="fr-FR" w:eastAsia="zh-CN" w:bidi="ar-SA"/>
    </w:rPr>
  </w:style>
  <w:style w:type="paragraph" w:customStyle="1" w:styleId="10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9">
    <w:name w:val="Document Label"/>
    <w:basedOn w:val="1"/>
    <w:qFormat/>
    <w:uiPriority w:val="0"/>
    <w:pPr>
      <w:keepNext/>
      <w:keepLines/>
      <w:widowControl/>
      <w:spacing w:before="400" w:beforeLines="0" w:after="120" w:afterLines="0" w:line="240" w:lineRule="atLeast"/>
      <w:jc w:val="left"/>
    </w:pPr>
    <w:rPr>
      <w:rFonts w:ascii="ˎ̥" w:hAnsi="ˎ̥"/>
      <w:spacing w:val="-100"/>
      <w:kern w:val="28"/>
      <w:sz w:val="108"/>
      <w:szCs w:val="20"/>
      <w:lang w:bidi="he-IL"/>
    </w:rPr>
  </w:style>
  <w:style w:type="paragraph" w:customStyle="1" w:styleId="110">
    <w:name w:val="No Spacing"/>
    <w:qFormat/>
    <w:uiPriority w:val="0"/>
    <w:rPr>
      <w:rFonts w:ascii="Times New Roman" w:hAnsi="Times New Roman" w:eastAsia="宋体" w:cs="Times New Roman"/>
      <w:sz w:val="24"/>
      <w:szCs w:val="24"/>
      <w:lang w:val="en-US" w:eastAsia="zh-CN" w:bidi="ar-SA"/>
    </w:rPr>
  </w:style>
  <w:style w:type="paragraph" w:customStyle="1" w:styleId="111">
    <w:name w:val="Char"/>
    <w:basedOn w:val="1"/>
    <w:qFormat/>
    <w:uiPriority w:val="0"/>
    <w:pPr>
      <w:widowControl/>
      <w:spacing w:after="160" w:afterLines="0" w:line="240" w:lineRule="exact"/>
      <w:jc w:val="left"/>
    </w:pPr>
    <w:rPr>
      <w:rFonts w:ascii="Dotum" w:hAnsi="Dotum"/>
      <w:kern w:val="0"/>
      <w:sz w:val="20"/>
      <w:szCs w:val="20"/>
      <w:lang w:eastAsia="en-US"/>
    </w:rPr>
  </w:style>
  <w:style w:type="paragraph" w:customStyle="1" w:styleId="112">
    <w:name w:val="Char Char1 Char Char Char Char Char Char Char Char Char Char Char Char Char Char Char"/>
    <w:basedOn w:val="1"/>
    <w:qFormat/>
    <w:uiPriority w:val="0"/>
    <w:pPr>
      <w:widowControl/>
      <w:spacing w:after="160" w:afterLines="0" w:line="240" w:lineRule="exact"/>
      <w:jc w:val="left"/>
    </w:pPr>
    <w:rPr>
      <w:rFonts w:ascii="Verdana" w:hAnsi="Verdana" w:cs="Times New Roman"/>
      <w:kern w:val="0"/>
      <w:sz w:val="20"/>
      <w:szCs w:val="20"/>
      <w:lang w:eastAsia="en-US"/>
    </w:rPr>
  </w:style>
  <w:style w:type="paragraph" w:customStyle="1" w:styleId="113">
    <w:name w:val="样式2"/>
    <w:basedOn w:val="32"/>
    <w:qFormat/>
    <w:uiPriority w:val="0"/>
    <w:pPr>
      <w:ind w:firstLine="2720"/>
    </w:pPr>
    <w:rPr>
      <w:bCs/>
    </w:rPr>
  </w:style>
  <w:style w:type="paragraph" w:customStyle="1" w:styleId="114">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15">
    <w:name w:val=" Char Char Char Char Char Char Char"/>
    <w:basedOn w:val="1"/>
    <w:qFormat/>
    <w:uiPriority w:val="0"/>
    <w:rPr>
      <w:rFonts w:ascii="HYg2gj" w:hAnsi="HYg2gj"/>
      <w:sz w:val="24"/>
      <w:szCs w:val="20"/>
    </w:rPr>
  </w:style>
  <w:style w:type="paragraph" w:customStyle="1" w:styleId="116">
    <w:name w:val=" Char Char3 Char Char Char Char"/>
    <w:basedOn w:val="1"/>
    <w:qFormat/>
    <w:uiPriority w:val="0"/>
    <w:rPr>
      <w:rFonts w:ascii="Tahoma" w:hAnsi="Tahoma"/>
      <w:sz w:val="24"/>
      <w:szCs w:val="20"/>
    </w:rPr>
  </w:style>
  <w:style w:type="paragraph" w:customStyle="1" w:styleId="11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8">
    <w:name w:val=" Char Char Char Char"/>
    <w:basedOn w:val="1"/>
    <w:qFormat/>
    <w:uiPriority w:val="0"/>
    <w:rPr>
      <w:rFonts w:ascii="HYg2gj" w:hAnsi="HYg2gj"/>
      <w:sz w:val="24"/>
      <w:szCs w:val="20"/>
    </w:rPr>
  </w:style>
  <w:style w:type="paragraph" w:customStyle="1" w:styleId="119">
    <w:name w:val="默认段落字体 Para Char Char Char Char Char Char Char Char Char1 Char Char Char Char Char Char Char"/>
    <w:basedOn w:val="14"/>
    <w:qFormat/>
    <w:uiPriority w:val="0"/>
    <w:rPr>
      <w:rFonts w:ascii="Times New Roman" w:hAnsi="Times New Roman"/>
    </w:rPr>
  </w:style>
  <w:style w:type="paragraph" w:customStyle="1" w:styleId="120">
    <w:name w:val="_Style 119"/>
    <w:basedOn w:val="1"/>
    <w:next w:val="1"/>
    <w:qFormat/>
    <w:uiPriority w:val="0"/>
    <w:pPr>
      <w:pBdr>
        <w:top w:val="single" w:color="auto" w:sz="6" w:space="1"/>
      </w:pBdr>
      <w:jc w:val="center"/>
    </w:pPr>
    <w:rPr>
      <w:rFonts w:ascii="Symbol" w:hAnsi="Symbol" w:cs="Symbol"/>
      <w:vanish/>
      <w:sz w:val="16"/>
      <w:szCs w:val="16"/>
    </w:rPr>
  </w:style>
  <w:style w:type="paragraph" w:customStyle="1" w:styleId="1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22">
    <w:name w:val="正文_17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Char Char"/>
    <w:basedOn w:val="1"/>
    <w:qFormat/>
    <w:uiPriority w:val="0"/>
    <w:rPr>
      <w:rFonts w:ascii="HYg2gj" w:hAnsi="HYg2gj"/>
      <w:sz w:val="24"/>
      <w:szCs w:val="20"/>
    </w:rPr>
  </w:style>
  <w:style w:type="paragraph" w:customStyle="1" w:styleId="124">
    <w:name w:val="正文_7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26">
    <w:name w:val="Normal Indent"/>
    <w:basedOn w:val="1"/>
    <w:qFormat/>
    <w:uiPriority w:val="0"/>
    <w:pPr>
      <w:ind w:firstLine="420"/>
    </w:pPr>
  </w:style>
  <w:style w:type="paragraph" w:customStyle="1" w:styleId="127">
    <w:name w:val="Char Char9"/>
    <w:basedOn w:val="1"/>
    <w:qFormat/>
    <w:uiPriority w:val="0"/>
    <w:rPr>
      <w:rFonts w:ascii="Tahoma" w:hAnsi="Tahoma" w:eastAsia="Times New Roman"/>
      <w:kern w:val="0"/>
      <w:sz w:val="24"/>
      <w:szCs w:val="20"/>
    </w:rPr>
  </w:style>
  <w:style w:type="paragraph" w:customStyle="1" w:styleId="128">
    <w:name w:val="Char1 Char Char Char"/>
    <w:basedOn w:val="1"/>
    <w:qFormat/>
    <w:uiPriority w:val="0"/>
  </w:style>
  <w:style w:type="paragraph" w:customStyle="1" w:styleId="12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130">
    <w:name w:val="Char Char Char"/>
    <w:basedOn w:val="1"/>
    <w:qFormat/>
    <w:uiPriority w:val="0"/>
    <w:rPr>
      <w:rFonts w:ascii="Tahoma" w:hAnsi="Tahoma" w:cs="Times New Roman"/>
      <w:sz w:val="24"/>
      <w:szCs w:val="20"/>
    </w:rPr>
  </w:style>
  <w:style w:type="paragraph" w:customStyle="1" w:styleId="131">
    <w:name w:val="标3"/>
    <w:basedOn w:val="1"/>
    <w:qFormat/>
    <w:uiPriority w:val="0"/>
    <w:pPr>
      <w:tabs>
        <w:tab w:val="left" w:pos="1965"/>
      </w:tabs>
      <w:adjustRightInd w:val="0"/>
      <w:snapToGrid w:val="0"/>
      <w:spacing w:before="50" w:beforeLines="0"/>
      <w:ind w:left="1965" w:hanging="420"/>
      <w:outlineLvl w:val="2"/>
    </w:pPr>
    <w:rPr>
      <w:rFonts w:ascii="Arial" w:hAnsi="Arial" w:eastAsia="Times"/>
      <w:sz w:val="28"/>
      <w:szCs w:val="20"/>
    </w:rPr>
  </w:style>
  <w:style w:type="paragraph" w:customStyle="1" w:styleId="132">
    <w:name w:val=" Char1"/>
    <w:basedOn w:val="1"/>
    <w:qFormat/>
    <w:uiPriority w:val="0"/>
    <w:rPr>
      <w:rFonts w:ascii="HYg2gj" w:hAnsi="HYg2gj"/>
      <w:sz w:val="24"/>
      <w:szCs w:val="20"/>
    </w:rPr>
  </w:style>
  <w:style w:type="paragraph" w:customStyle="1" w:styleId="133">
    <w:name w:val="_Style 132"/>
    <w:semiHidden/>
    <w:qFormat/>
    <w:uiPriority w:val="99"/>
    <w:rPr>
      <w:rFonts w:ascii="Calibri" w:hAnsi="Calibri" w:eastAsia="宋体" w:cs="Times New Roman"/>
      <w:kern w:val="2"/>
      <w:sz w:val="21"/>
      <w:szCs w:val="24"/>
      <w:lang w:val="en-US" w:eastAsia="zh-CN" w:bidi="ar-SA"/>
    </w:rPr>
  </w:style>
  <w:style w:type="paragraph" w:customStyle="1" w:styleId="1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35">
    <w:name w:val="表"/>
    <w:basedOn w:val="1"/>
    <w:qFormat/>
    <w:uiPriority w:val="0"/>
    <w:pPr>
      <w:spacing w:line="360" w:lineRule="auto"/>
      <w:jc w:val="center"/>
    </w:pPr>
    <w:rPr>
      <w:color w:val="000000"/>
      <w:szCs w:val="21"/>
    </w:rPr>
  </w:style>
  <w:style w:type="paragraph" w:customStyle="1" w:styleId="136">
    <w:name w:val="默认段落字体 Para Char Char Char Char"/>
    <w:basedOn w:val="1"/>
    <w:qFormat/>
    <w:uiPriority w:val="0"/>
    <w:pPr>
      <w:spacing w:line="360" w:lineRule="auto"/>
      <w:ind w:firstLine="200" w:firstLineChars="200"/>
    </w:pPr>
    <w:rPr>
      <w:rFonts w:ascii="Arial Narrow" w:hAnsi="Arial Narrow" w:cs="Arial Narrow"/>
      <w:sz w:val="24"/>
    </w:rPr>
  </w:style>
  <w:style w:type="paragraph" w:customStyle="1" w:styleId="137">
    <w:name w:val="xl92"/>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39">
    <w:name w:val="font7"/>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40">
    <w:name w:val=" Char Char Char Char Char Char Char Char Char Char"/>
    <w:basedOn w:val="1"/>
    <w:qFormat/>
    <w:uiPriority w:val="0"/>
    <w:rPr>
      <w:rFonts w:ascii="HYg2gj" w:hAnsi="HYg2gj"/>
      <w:sz w:val="24"/>
      <w:szCs w:val="20"/>
    </w:rPr>
  </w:style>
  <w:style w:type="paragraph" w:customStyle="1" w:styleId="14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4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143">
    <w:name w:val="Char1 Char Char Char Char Char Char"/>
    <w:basedOn w:val="1"/>
    <w:qFormat/>
    <w:uiPriority w:val="0"/>
    <w:rPr>
      <w:rFonts w:ascii="HYg2gj" w:hAnsi="HYg2gj"/>
      <w:sz w:val="24"/>
      <w:szCs w:val="20"/>
    </w:rPr>
  </w:style>
  <w:style w:type="paragraph" w:customStyle="1" w:styleId="1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145">
    <w:name w:val=" Char2"/>
    <w:basedOn w:val="1"/>
    <w:qFormat/>
    <w:uiPriority w:val="0"/>
    <w:rPr>
      <w:rFonts w:ascii="HYg2gj" w:hAnsi="HYg2gj"/>
      <w:sz w:val="24"/>
      <w:szCs w:val="20"/>
    </w:rPr>
  </w:style>
  <w:style w:type="paragraph" w:customStyle="1" w:styleId="14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147">
    <w:name w:val="Char2"/>
    <w:basedOn w:val="1"/>
    <w:qFormat/>
    <w:uiPriority w:val="0"/>
    <w:rPr>
      <w:rFonts w:ascii="HYg2gj" w:hAnsi="HYg2gj"/>
      <w:sz w:val="24"/>
      <w:szCs w:val="20"/>
    </w:rPr>
  </w:style>
  <w:style w:type="paragraph" w:customStyle="1" w:styleId="14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9">
    <w:name w:val="正文0"/>
    <w:basedOn w:val="1"/>
    <w:qFormat/>
    <w:uiPriority w:val="0"/>
    <w:pPr>
      <w:autoSpaceDE w:val="0"/>
      <w:autoSpaceDN w:val="0"/>
      <w:adjustRightInd w:val="0"/>
      <w:spacing w:before="240" w:beforeLines="0" w:after="60" w:afterLines="0" w:line="360" w:lineRule="atLeast"/>
    </w:pPr>
    <w:rPr>
      <w:b/>
      <w:kern w:val="0"/>
      <w:sz w:val="24"/>
      <w:szCs w:val="20"/>
    </w:rPr>
  </w:style>
  <w:style w:type="paragraph" w:customStyle="1" w:styleId="15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51">
    <w:name w:val="Char Char10"/>
    <w:basedOn w:val="14"/>
    <w:qFormat/>
    <w:uiPriority w:val="0"/>
    <w:rPr>
      <w:rFonts w:ascii="Tahoma" w:hAnsi="Tahoma" w:eastAsia="Times New Roman"/>
      <w:kern w:val="0"/>
      <w:sz w:val="24"/>
      <w:szCs w:val="20"/>
    </w:rPr>
  </w:style>
  <w:style w:type="paragraph" w:customStyle="1" w:styleId="15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53">
    <w:name w:val="我的正文"/>
    <w:basedOn w:val="1"/>
    <w:qFormat/>
    <w:uiPriority w:val="0"/>
    <w:pPr>
      <w:spacing w:line="400" w:lineRule="exact"/>
      <w:ind w:firstLine="200" w:firstLineChars="200"/>
    </w:pPr>
    <w:rPr>
      <w:rFonts w:ascii="Dotum" w:hAnsi="Dotum" w:cs="HYg2gj"/>
      <w:sz w:val="24"/>
      <w:szCs w:val="20"/>
    </w:rPr>
  </w:style>
  <w:style w:type="paragraph" w:customStyle="1" w:styleId="1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55">
    <w:name w:val=" Char"/>
    <w:basedOn w:val="1"/>
    <w:qFormat/>
    <w:uiPriority w:val="0"/>
    <w:pPr>
      <w:widowControl/>
      <w:spacing w:after="160" w:afterLines="0" w:line="240" w:lineRule="exact"/>
      <w:jc w:val="left"/>
    </w:pPr>
    <w:rPr>
      <w:rFonts w:ascii="HYg2gj" w:hAnsi="HYg2gj"/>
      <w:kern w:val="0"/>
      <w:sz w:val="24"/>
      <w:lang w:eastAsia="en-US"/>
    </w:rPr>
  </w:style>
  <w:style w:type="paragraph" w:customStyle="1" w:styleId="156">
    <w:name w:val="Char2 Char Char Char Char Char Char Char Char Char Char Char Char"/>
    <w:basedOn w:val="1"/>
    <w:qFormat/>
    <w:uiPriority w:val="0"/>
    <w:pPr>
      <w:spacing w:line="360" w:lineRule="auto"/>
      <w:ind w:firstLine="200" w:firstLineChars="200"/>
    </w:pPr>
    <w:rPr>
      <w:rFonts w:ascii="HYg2gj" w:hAnsi="HYg2gj"/>
      <w:sz w:val="24"/>
    </w:rPr>
  </w:style>
  <w:style w:type="paragraph" w:customStyle="1" w:styleId="157">
    <w:name w:val="1"/>
    <w:basedOn w:val="1"/>
    <w:qFormat/>
    <w:uiPriority w:val="0"/>
    <w:rPr>
      <w:rFonts w:ascii="Tahoma" w:hAnsi="Tahoma"/>
      <w:sz w:val="24"/>
      <w:szCs w:val="20"/>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59">
    <w:name w:val=" Char1 Char Char Char Char Char Char"/>
    <w:basedOn w:val="1"/>
    <w:qFormat/>
    <w:uiPriority w:val="0"/>
    <w:rPr>
      <w:rFonts w:ascii="HYg2gj" w:hAnsi="HYg2gj"/>
      <w:sz w:val="24"/>
      <w:szCs w:val="20"/>
    </w:rPr>
  </w:style>
  <w:style w:type="paragraph" w:customStyle="1" w:styleId="160">
    <w:name w:val="正文_12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 Char Char Char Char Char Char Char Char Char"/>
    <w:basedOn w:val="1"/>
    <w:qFormat/>
    <w:uiPriority w:val="0"/>
    <w:pPr>
      <w:widowControl/>
      <w:spacing w:after="160" w:afterLines="0" w:line="240" w:lineRule="exact"/>
      <w:jc w:val="left"/>
    </w:pPr>
    <w:rPr>
      <w:szCs w:val="20"/>
    </w:rPr>
  </w:style>
  <w:style w:type="paragraph" w:customStyle="1" w:styleId="162">
    <w:name w:val="样式4"/>
    <w:basedOn w:val="1"/>
    <w:qFormat/>
    <w:uiPriority w:val="0"/>
    <w:pPr>
      <w:spacing w:before="100" w:beforeAutospacing="1" w:after="100" w:afterAutospacing="1"/>
      <w:jc w:val="center"/>
    </w:pPr>
    <w:rPr>
      <w:rFonts w:ascii="宋体" w:hAnsi="宋体"/>
      <w:szCs w:val="21"/>
    </w:rPr>
  </w:style>
  <w:style w:type="paragraph" w:customStyle="1" w:styleId="163">
    <w:name w:val="表格"/>
    <w:basedOn w:val="1"/>
    <w:qFormat/>
    <w:uiPriority w:val="0"/>
    <w:pPr>
      <w:keepNext/>
      <w:keepLines/>
      <w:adjustRightInd w:val="0"/>
      <w:spacing w:line="240" w:lineRule="atLeast"/>
      <w:jc w:val="center"/>
      <w:textAlignment w:val="baseline"/>
    </w:pPr>
    <w:rPr>
      <w:rFonts w:ascii="宋体" w:hAnsi="Times New Roman"/>
      <w:kern w:val="0"/>
      <w:sz w:val="24"/>
      <w:szCs w:val="20"/>
    </w:rPr>
  </w:style>
  <w:style w:type="paragraph" w:customStyle="1" w:styleId="164">
    <w:name w:val=" Char4"/>
    <w:basedOn w:val="1"/>
    <w:qFormat/>
    <w:uiPriority w:val="0"/>
    <w:rPr>
      <w:rFonts w:ascii="Dotum" w:hAnsi="Dotum" w:cs="HYg2gj"/>
      <w:sz w:val="24"/>
      <w:szCs w:val="20"/>
    </w:rPr>
  </w:style>
  <w:style w:type="paragraph" w:customStyle="1" w:styleId="165">
    <w:name w:val=" Char2 Char Char Char"/>
    <w:basedOn w:val="1"/>
    <w:qFormat/>
    <w:uiPriority w:val="0"/>
    <w:rPr>
      <w:rFonts w:ascii="Tahoma" w:hAnsi="Tahoma"/>
      <w:sz w:val="24"/>
      <w:szCs w:val="20"/>
    </w:rPr>
  </w:style>
  <w:style w:type="paragraph" w:customStyle="1" w:styleId="16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Narrow" w:hAnsi="Arial Narrow"/>
      <w:kern w:val="0"/>
      <w:szCs w:val="21"/>
    </w:rPr>
  </w:style>
  <w:style w:type="paragraph" w:customStyle="1" w:styleId="167">
    <w:name w:val="Char1"/>
    <w:basedOn w:val="1"/>
    <w:qFormat/>
    <w:uiPriority w:val="0"/>
    <w:rPr>
      <w:rFonts w:ascii="HYg2gj" w:hAnsi="HYg2gj"/>
      <w:sz w:val="24"/>
      <w:szCs w:val="20"/>
    </w:rPr>
  </w:style>
  <w:style w:type="character" w:customStyle="1" w:styleId="168">
    <w:name w:val=" Char Char10"/>
    <w:qFormat/>
    <w:uiPriority w:val="0"/>
    <w:rPr>
      <w:rFonts w:eastAsia="宋体"/>
      <w:kern w:val="2"/>
      <w:sz w:val="21"/>
      <w:lang w:val="en-US" w:eastAsia="zh-CN" w:bidi="ar-SA"/>
    </w:rPr>
  </w:style>
  <w:style w:type="character" w:customStyle="1" w:styleId="169">
    <w:name w:val="纯文本 Char"/>
    <w:link w:val="22"/>
    <w:qFormat/>
    <w:uiPriority w:val="0"/>
    <w:rPr>
      <w:rFonts w:ascii="Arial Narrow" w:hAnsi="Times New Roman" w:eastAsia="Arial Narrow"/>
      <w:kern w:val="2"/>
      <w:sz w:val="21"/>
      <w:lang w:val="en-US" w:eastAsia="zh-CN" w:bidi="ar-SA"/>
    </w:rPr>
  </w:style>
  <w:style w:type="character" w:customStyle="1" w:styleId="170">
    <w:name w:val="p121"/>
    <w:qFormat/>
    <w:uiPriority w:val="0"/>
    <w:rPr>
      <w:rFonts w:hint="default" w:ascii="HYg2gj" w:hAnsi="HYg2gj"/>
      <w:sz w:val="18"/>
      <w:szCs w:val="18"/>
    </w:rPr>
  </w:style>
  <w:style w:type="character" w:customStyle="1" w:styleId="171">
    <w:name w:val=" Char Char4"/>
    <w:qFormat/>
    <w:uiPriority w:val="0"/>
    <w:rPr>
      <w:rFonts w:ascii="宋体" w:hAnsi="Courier New" w:eastAsia="宋体"/>
      <w:kern w:val="2"/>
      <w:sz w:val="21"/>
      <w:lang w:val="en-US" w:eastAsia="zh-CN" w:bidi="ar-SA"/>
    </w:rPr>
  </w:style>
  <w:style w:type="character" w:customStyle="1" w:styleId="172">
    <w:name w:val="正文（首行缩进两字） Char1"/>
    <w:qFormat/>
    <w:uiPriority w:val="0"/>
    <w:rPr>
      <w:rFonts w:eastAsia="宋体"/>
      <w:kern w:val="2"/>
      <w:sz w:val="21"/>
      <w:lang w:val="en-US" w:eastAsia="zh-CN" w:bidi="ar-SA"/>
    </w:rPr>
  </w:style>
  <w:style w:type="character" w:customStyle="1" w:styleId="173">
    <w:name w:val="标题 5 Char"/>
    <w:link w:val="8"/>
    <w:qFormat/>
    <w:uiPriority w:val="0"/>
    <w:rPr>
      <w:rFonts w:ascii="黑体" w:hAnsi="黑体" w:eastAsia="Arial Narrow"/>
      <w:b/>
      <w:kern w:val="2"/>
      <w:sz w:val="28"/>
      <w:szCs w:val="24"/>
      <w:lang w:val="en-US" w:eastAsia="zh-CN" w:bidi="ar-SA"/>
    </w:rPr>
  </w:style>
  <w:style w:type="character" w:customStyle="1" w:styleId="174">
    <w:name w:val=" Char Char12"/>
    <w:qFormat/>
    <w:uiPriority w:val="0"/>
    <w:rPr>
      <w:kern w:val="2"/>
      <w:sz w:val="21"/>
    </w:rPr>
  </w:style>
  <w:style w:type="character" w:customStyle="1" w:styleId="175">
    <w:name w:val="普通文字 Char Char"/>
    <w:qFormat/>
    <w:uiPriority w:val="0"/>
    <w:rPr>
      <w:rFonts w:ascii="Arial Narrow" w:hAnsi="Times New Roman" w:eastAsia="Arial Narrow"/>
      <w:kern w:val="2"/>
      <w:sz w:val="21"/>
      <w:lang w:val="en-US" w:eastAsia="zh-CN" w:bidi="ar-SA"/>
    </w:rPr>
  </w:style>
  <w:style w:type="character" w:customStyle="1" w:styleId="176">
    <w:name w:val="正文文本缩进 字符1"/>
    <w:semiHidden/>
    <w:qFormat/>
    <w:locked/>
    <w:uiPriority w:val="0"/>
    <w:rPr>
      <w:rFonts w:ascii="Arial Narrow" w:hAnsi="Arial Narrow"/>
      <w:kern w:val="2"/>
      <w:sz w:val="24"/>
      <w:szCs w:val="21"/>
    </w:rPr>
  </w:style>
  <w:style w:type="character" w:customStyle="1" w:styleId="177">
    <w:name w:val="content"/>
    <w:qFormat/>
    <w:uiPriority w:val="0"/>
    <w:rPr>
      <w:color w:val="000000"/>
      <w:sz w:val="21"/>
      <w:szCs w:val="21"/>
    </w:rPr>
  </w:style>
  <w:style w:type="character" w:customStyle="1" w:styleId="178">
    <w:name w:val="标题 2 Char"/>
    <w:link w:val="4"/>
    <w:qFormat/>
    <w:uiPriority w:val="0"/>
    <w:rPr>
      <w:rFonts w:ascii="Arial Black" w:hAnsi="Arial Black" w:eastAsia="Arial Narrow"/>
      <w:b/>
      <w:kern w:val="2"/>
      <w:sz w:val="30"/>
      <w:szCs w:val="24"/>
      <w:lang w:val="en-US" w:eastAsia="zh-CN" w:bidi="ar-SA"/>
    </w:rPr>
  </w:style>
  <w:style w:type="character" w:customStyle="1" w:styleId="179">
    <w:name w:val="title-text"/>
    <w:qFormat/>
    <w:uiPriority w:val="0"/>
  </w:style>
  <w:style w:type="character" w:customStyle="1" w:styleId="180">
    <w:name w:val="图片 Char"/>
    <w:link w:val="73"/>
    <w:qFormat/>
    <w:uiPriority w:val="0"/>
    <w:rPr>
      <w:kern w:val="2"/>
      <w:sz w:val="24"/>
      <w:lang w:bidi="ar-SA"/>
    </w:rPr>
  </w:style>
  <w:style w:type="character" w:customStyle="1" w:styleId="181">
    <w:name w:val="正文样式 Char"/>
    <w:link w:val="70"/>
    <w:qFormat/>
    <w:uiPriority w:val="0"/>
    <w:rPr>
      <w:rFonts w:ascii="Calibri" w:hAnsi="Calibri"/>
      <w:kern w:val="2"/>
      <w:sz w:val="28"/>
      <w:szCs w:val="21"/>
      <w:lang w:bidi="ar-SA"/>
    </w:rPr>
  </w:style>
  <w:style w:type="character" w:customStyle="1" w:styleId="182">
    <w:name w:val="正文文本 Char"/>
    <w:link w:val="18"/>
    <w:qFormat/>
    <w:uiPriority w:val="0"/>
    <w:rPr>
      <w:rFonts w:ascii="黑体" w:hAnsi="黑体" w:eastAsia="宋体"/>
      <w:kern w:val="2"/>
      <w:sz w:val="21"/>
      <w:szCs w:val="24"/>
      <w:lang w:val="en-US" w:eastAsia="zh-CN" w:bidi="ar-SA"/>
    </w:rPr>
  </w:style>
  <w:style w:type="character" w:customStyle="1" w:styleId="183">
    <w:name w:val="long_text1"/>
    <w:qFormat/>
    <w:uiPriority w:val="0"/>
    <w:rPr>
      <w:sz w:val="20"/>
      <w:szCs w:val="20"/>
    </w:rPr>
  </w:style>
  <w:style w:type="character" w:customStyle="1" w:styleId="184">
    <w:name w:val="text11"/>
    <w:qFormat/>
    <w:uiPriority w:val="0"/>
    <w:rPr>
      <w:rFonts w:hint="default" w:ascii="Dotum" w:hAnsi="Dotum"/>
      <w:color w:val="4E4E4E"/>
      <w:sz w:val="18"/>
      <w:szCs w:val="18"/>
    </w:rPr>
  </w:style>
  <w:style w:type="character" w:customStyle="1" w:styleId="185">
    <w:name w:val="称呼 Char"/>
    <w:link w:val="16"/>
    <w:qFormat/>
    <w:uiPriority w:val="0"/>
    <w:rPr>
      <w:rFonts w:ascii="Arial Narrow" w:eastAsia="Arial Narrow"/>
      <w:sz w:val="24"/>
      <w:lang w:val="en-US" w:eastAsia="zh-CN" w:bidi="ar-SA"/>
    </w:rPr>
  </w:style>
  <w:style w:type="character" w:customStyle="1" w:styleId="186">
    <w:name w:val="批注文字 Char"/>
    <w:link w:val="15"/>
    <w:qFormat/>
    <w:locked/>
    <w:uiPriority w:val="0"/>
    <w:rPr>
      <w:rFonts w:ascii="黑体" w:hAnsi="黑体" w:eastAsia="宋体"/>
      <w:kern w:val="2"/>
      <w:sz w:val="21"/>
      <w:szCs w:val="24"/>
      <w:lang w:val="en-US" w:eastAsia="zh-CN" w:bidi="ar-SA"/>
    </w:rPr>
  </w:style>
  <w:style w:type="character" w:customStyle="1" w:styleId="187">
    <w:name w:val="正文文本缩进 Char"/>
    <w:link w:val="19"/>
    <w:qFormat/>
    <w:uiPriority w:val="0"/>
    <w:rPr>
      <w:rFonts w:ascii="Arial Narrow" w:hAnsi="Arial Narrow" w:eastAsia="宋体"/>
      <w:kern w:val="2"/>
      <w:sz w:val="24"/>
      <w:szCs w:val="21"/>
      <w:lang w:val="en-US" w:eastAsia="zh-CN" w:bidi="ar-SA"/>
    </w:rPr>
  </w:style>
  <w:style w:type="character" w:customStyle="1" w:styleId="188">
    <w:name w:val="正文缩进 Char"/>
    <w:link w:val="5"/>
    <w:qFormat/>
    <w:uiPriority w:val="0"/>
    <w:rPr>
      <w:rFonts w:eastAsia="Arial Narrow"/>
      <w:kern w:val="2"/>
      <w:sz w:val="21"/>
      <w:lang w:val="en-US" w:eastAsia="zh-CN" w:bidi="ar-SA"/>
    </w:rPr>
  </w:style>
  <w:style w:type="character" w:customStyle="1" w:styleId="189">
    <w:name w:val="列出段落 Char"/>
    <w:link w:val="79"/>
    <w:qFormat/>
    <w:uiPriority w:val="34"/>
    <w:rPr>
      <w:rFonts w:ascii="Calibri" w:hAnsi="Calibri" w:eastAsia="宋体"/>
      <w:kern w:val="2"/>
      <w:sz w:val="21"/>
      <w:szCs w:val="22"/>
      <w:lang w:val="en-US" w:eastAsia="zh-CN" w:bidi="ar-SA"/>
    </w:rPr>
  </w:style>
  <w:style w:type="character" w:customStyle="1" w:styleId="190">
    <w:name w:val="手改 Char Char"/>
    <w:qFormat/>
    <w:uiPriority w:val="0"/>
    <w:rPr>
      <w:rFonts w:ascii="黑体" w:hAnsi="黑体" w:eastAsia="宋体"/>
      <w:kern w:val="2"/>
      <w:sz w:val="21"/>
      <w:szCs w:val="24"/>
      <w:lang w:val="en-US" w:eastAsia="zh-CN" w:bidi="ar-SA"/>
    </w:rPr>
  </w:style>
  <w:style w:type="character" w:customStyle="1" w:styleId="191">
    <w:name w:val="page number"/>
    <w:basedOn w:val="42"/>
    <w:qFormat/>
    <w:uiPriority w:val="0"/>
  </w:style>
  <w:style w:type="character" w:customStyle="1" w:styleId="192">
    <w:name w:val="页眉 Char"/>
    <w:link w:val="27"/>
    <w:qFormat/>
    <w:uiPriority w:val="0"/>
    <w:rPr>
      <w:rFonts w:eastAsia="Arial Narrow"/>
      <w:kern w:val="2"/>
      <w:sz w:val="18"/>
      <w:szCs w:val="18"/>
      <w:lang w:val="en-US" w:eastAsia="zh-CN" w:bidi="ar-SA"/>
    </w:rPr>
  </w:style>
  <w:style w:type="character" w:customStyle="1" w:styleId="193">
    <w:name w:val="apple-converted-space"/>
    <w:basedOn w:val="42"/>
    <w:qFormat/>
    <w:uiPriority w:val="0"/>
  </w:style>
  <w:style w:type="character" w:customStyle="1" w:styleId="194">
    <w:name w:val="h141"/>
    <w:qFormat/>
    <w:uiPriority w:val="0"/>
    <w:rPr>
      <w:color w:val="262626"/>
      <w:sz w:val="21"/>
      <w:szCs w:val="21"/>
    </w:rPr>
  </w:style>
  <w:style w:type="character" w:customStyle="1" w:styleId="195">
    <w:name w:val="批注文字 字符"/>
    <w:qFormat/>
    <w:locked/>
    <w:uiPriority w:val="0"/>
  </w:style>
  <w:style w:type="character" w:customStyle="1" w:styleId="196">
    <w:name w:val="rili11"/>
    <w:qFormat/>
    <w:uiPriority w:val="0"/>
    <w:rPr>
      <w:sz w:val="21"/>
      <w:szCs w:val="21"/>
    </w:rPr>
  </w:style>
  <w:style w:type="character" w:customStyle="1" w:styleId="197">
    <w:name w:val="Comment Text Char"/>
    <w:qFormat/>
    <w:locked/>
    <w:uiPriority w:val="0"/>
    <w:rPr>
      <w:rFonts w:ascii="黑体" w:hAnsi="黑体" w:eastAsia="宋体"/>
      <w:kern w:val="2"/>
      <w:sz w:val="21"/>
      <w:szCs w:val="24"/>
      <w:lang w:val="en-US" w:eastAsia="zh-CN" w:bidi="ar-SA"/>
    </w:rPr>
  </w:style>
  <w:style w:type="character" w:customStyle="1" w:styleId="198">
    <w:name w:val="样式3 Char"/>
    <w:link w:val="93"/>
    <w:qFormat/>
    <w:uiPriority w:val="0"/>
    <w:rPr>
      <w:rFonts w:ascii="Arial Narrow" w:eastAsia="Arial Narrow"/>
      <w:kern w:val="2"/>
      <w:sz w:val="28"/>
      <w:lang w:val="en-US" w:eastAsia="zh-CN" w:bidi="ar-SA"/>
    </w:rPr>
  </w:style>
  <w:style w:type="character" w:customStyle="1" w:styleId="199">
    <w:name w:val="日期 Char"/>
    <w:link w:val="24"/>
    <w:qFormat/>
    <w:uiPriority w:val="0"/>
    <w:rPr>
      <w:rFonts w:ascii="Arial Narrow" w:hAnsi="Arial Narrow" w:eastAsia="Arial Narrow"/>
      <w:kern w:val="2"/>
      <w:sz w:val="24"/>
      <w:szCs w:val="21"/>
      <w:lang w:val="en-US" w:eastAsia="zh-CN" w:bidi="ar-SA"/>
    </w:rPr>
  </w:style>
  <w:style w:type="character" w:customStyle="1" w:styleId="200">
    <w:name w:val="b11"/>
    <w:basedOn w:val="42"/>
    <w:qFormat/>
    <w:uiPriority w:val="0"/>
  </w:style>
  <w:style w:type="paragraph" w:customStyle="1" w:styleId="201">
    <w:name w:val="正文文本_0"/>
    <w:basedOn w:val="202"/>
    <w:unhideWhenUsed/>
    <w:qFormat/>
    <w:uiPriority w:val="0"/>
    <w:rPr>
      <w:rFonts w:ascii="Calibri" w:hAnsi="Calibri"/>
      <w:szCs w:val="21"/>
    </w:rPr>
  </w:style>
  <w:style w:type="paragraph" w:customStyle="1" w:styleId="202">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标题 3_0"/>
    <w:basedOn w:val="204"/>
    <w:next w:val="204"/>
    <w:unhideWhenUsed/>
    <w:qFormat/>
    <w:uiPriority w:val="0"/>
    <w:pPr>
      <w:keepNext/>
      <w:keepLines/>
      <w:adjustRightInd w:val="0"/>
      <w:spacing w:before="260" w:after="260" w:line="416" w:lineRule="atLeast"/>
      <w:outlineLvl w:val="2"/>
    </w:pPr>
    <w:rPr>
      <w:rFonts w:ascii="Calibri" w:hAnsi="Calibri"/>
      <w:b/>
      <w:bCs/>
      <w:sz w:val="32"/>
      <w:szCs w:val="32"/>
    </w:rPr>
  </w:style>
  <w:style w:type="paragraph" w:customStyle="1" w:styleId="204">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5">
    <w:name w:val="正文文本_0_0"/>
    <w:basedOn w:val="204"/>
    <w:unhideWhenUsed/>
    <w:qFormat/>
    <w:uiPriority w:val="0"/>
    <w:rPr>
      <w:rFonts w:ascii="Calibri" w:hAnsi="Calibri"/>
      <w:szCs w:val="21"/>
    </w:rPr>
  </w:style>
  <w:style w:type="paragraph" w:customStyle="1" w:styleId="206">
    <w:name w:val="标题 3_1"/>
    <w:basedOn w:val="202"/>
    <w:next w:val="202"/>
    <w:unhideWhenUsed/>
    <w:qFormat/>
    <w:uiPriority w:val="0"/>
    <w:pPr>
      <w:keepNext/>
      <w:keepLines/>
      <w:adjustRightInd w:val="0"/>
      <w:spacing w:before="260" w:after="260" w:line="416" w:lineRule="atLeast"/>
      <w:outlineLvl w:val="2"/>
    </w:pPr>
    <w:rPr>
      <w:rFonts w:ascii="Calibri" w:hAnsi="Calibri"/>
      <w:b/>
      <w:bCs/>
      <w:sz w:val="32"/>
      <w:szCs w:val="32"/>
    </w:rPr>
  </w:style>
  <w:style w:type="paragraph" w:customStyle="1" w:styleId="207">
    <w:name w:val="标题 4_0"/>
    <w:basedOn w:val="202"/>
    <w:next w:val="202"/>
    <w:unhideWhenUsed/>
    <w:qFormat/>
    <w:uiPriority w:val="0"/>
    <w:pPr>
      <w:keepNext/>
      <w:keepLines/>
      <w:spacing w:before="280" w:after="290" w:line="374" w:lineRule="auto"/>
      <w:outlineLvl w:val="3"/>
    </w:pPr>
    <w:rPr>
      <w:rFonts w:ascii="Cambria" w:hAnsi="Cambria"/>
      <w:b/>
      <w:bCs/>
      <w:sz w:val="28"/>
      <w:szCs w:val="28"/>
    </w:rPr>
  </w:style>
  <w:style w:type="paragraph" w:customStyle="1" w:styleId="208">
    <w:name w:val="Normal_2"/>
    <w:qFormat/>
    <w:uiPriority w:val="0"/>
    <w:rPr>
      <w:rFonts w:ascii="黑体" w:hAnsi="黑体" w:eastAsia="黑体" w:cs="Times New Roman"/>
      <w:b/>
      <w:sz w:val="32"/>
      <w:szCs w:val="24"/>
      <w:lang w:bidi="ar-SA"/>
    </w:rPr>
  </w:style>
  <w:style w:type="paragraph" w:customStyle="1" w:styleId="209">
    <w:name w:val="正文文本_0_1"/>
    <w:basedOn w:val="210"/>
    <w:qFormat/>
    <w:uiPriority w:val="0"/>
    <w:pPr>
      <w:autoSpaceDE w:val="0"/>
      <w:autoSpaceDN w:val="0"/>
      <w:jc w:val="left"/>
    </w:pPr>
    <w:rPr>
      <w:rFonts w:ascii="宋体" w:hAnsi="Times New Roman" w:eastAsia="宋体" w:cs="宋体"/>
      <w:kern w:val="0"/>
      <w:szCs w:val="21"/>
      <w:lang w:val="zh-CN" w:bidi="zh-CN"/>
    </w:rPr>
  </w:style>
  <w:style w:type="paragraph" w:customStyle="1" w:styleId="210">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1">
    <w:name w:val="CM99_1"/>
    <w:basedOn w:val="212"/>
    <w:next w:val="212"/>
    <w:qFormat/>
    <w:uiPriority w:val="0"/>
    <w:pPr>
      <w:spacing w:after="443"/>
    </w:pPr>
    <w:rPr>
      <w:rFonts w:ascii="Calibri" w:hAnsi="Calibri" w:eastAsia="宋体"/>
      <w:color w:val="auto"/>
    </w:rPr>
  </w:style>
  <w:style w:type="paragraph" w:customStyle="1" w:styleId="212">
    <w:name w:val="Default_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13">
    <w:name w:val="正文缩进_0"/>
    <w:basedOn w:val="210"/>
    <w:qFormat/>
    <w:uiPriority w:val="0"/>
    <w:pPr>
      <w:adjustRightInd w:val="0"/>
      <w:spacing w:line="360" w:lineRule="atLeast"/>
      <w:ind w:firstLine="420"/>
      <w:textAlignment w:val="baseline"/>
    </w:pPr>
    <w:rPr>
      <w:rFonts w:ascii="Times New Roman" w:hAnsi="Times New Roman" w:eastAsia="宋体"/>
      <w:szCs w:val="20"/>
    </w:rPr>
  </w:style>
  <w:style w:type="paragraph" w:customStyle="1" w:styleId="214">
    <w:name w:val="正文文本_6"/>
    <w:basedOn w:val="215"/>
    <w:qFormat/>
    <w:uiPriority w:val="0"/>
    <w:rPr>
      <w:rFonts w:ascii="Calibri" w:hAnsi="Calibri" w:eastAsia="宋体"/>
      <w:sz w:val="21"/>
      <w:szCs w:val="21"/>
    </w:rPr>
  </w:style>
  <w:style w:type="paragraph" w:customStyle="1" w:styleId="215">
    <w:name w:val="正文_6"/>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216">
    <w:name w:val="正文 A_0"/>
    <w:qFormat/>
    <w:uiPriority w:val="0"/>
    <w:pPr>
      <w:widowControl w:val="0"/>
      <w:jc w:val="both"/>
    </w:pPr>
    <w:rPr>
      <w:rFonts w:ascii="Arial Unicode MS" w:hAnsi="Times New Roman" w:eastAsia="Arial Unicode MS" w:cs="Arial Unicode MS"/>
      <w:color w:val="000000"/>
      <w:kern w:val="2"/>
      <w:sz w:val="32"/>
      <w:szCs w:val="32"/>
      <w:lang w:val="en-US" w:eastAsia="zh-CN" w:bidi="ar-SA"/>
    </w:rPr>
  </w:style>
  <w:style w:type="paragraph" w:customStyle="1" w:styleId="217">
    <w:name w:val="Normal_11"/>
    <w:qFormat/>
    <w:uiPriority w:val="0"/>
    <w:rPr>
      <w:rFonts w:ascii="Times New Roman" w:hAnsi="Times New Roman" w:eastAsia="Times New Roman" w:cs="Times New Roman"/>
      <w:sz w:val="24"/>
      <w:szCs w:val="24"/>
      <w:lang w:bidi="ar-SA"/>
    </w:rPr>
  </w:style>
  <w:style w:type="paragraph" w:customStyle="1" w:styleId="218">
    <w:name w:val="正文文本_7"/>
    <w:basedOn w:val="219"/>
    <w:qFormat/>
    <w:uiPriority w:val="0"/>
    <w:rPr>
      <w:rFonts w:ascii="Calibri" w:hAnsi="Calibri" w:eastAsia="宋体"/>
      <w:sz w:val="21"/>
      <w:szCs w:val="21"/>
    </w:rPr>
  </w:style>
  <w:style w:type="paragraph" w:customStyle="1" w:styleId="219">
    <w:name w:val="正文_7"/>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220">
    <w:name w:val="正文缩进_3"/>
    <w:basedOn w:val="219"/>
    <w:qFormat/>
    <w:uiPriority w:val="0"/>
    <w:pPr>
      <w:autoSpaceDE/>
      <w:autoSpaceDN/>
      <w:adjustRightInd w:val="0"/>
      <w:spacing w:line="360" w:lineRule="atLeast"/>
      <w:ind w:firstLine="420"/>
      <w:jc w:val="both"/>
      <w:textAlignment w:val="baseline"/>
    </w:pPr>
    <w:rPr>
      <w:rFonts w:ascii="Times New Roman" w:hAnsi="Calibri" w:eastAsia="宋体" w:cs="Times New Roman"/>
      <w:kern w:val="2"/>
      <w:sz w:val="21"/>
      <w:szCs w:val="20"/>
      <w:lang w:bidi="ar-SA"/>
    </w:rPr>
  </w:style>
  <w:style w:type="paragraph" w:customStyle="1" w:styleId="221">
    <w:name w:val="标准"/>
    <w:basedOn w:val="1"/>
    <w:qFormat/>
    <w:uiPriority w:val="0"/>
    <w:pPr>
      <w:tabs>
        <w:tab w:val="left" w:pos="3240"/>
      </w:tabs>
      <w:autoSpaceDE w:val="0"/>
      <w:autoSpaceDN w:val="0"/>
      <w:adjustRightInd w:val="0"/>
      <w:snapToGrid w:val="0"/>
      <w:spacing w:line="312" w:lineRule="atLeast"/>
      <w:ind w:left="-117" w:right="11" w:firstLine="480" w:firstLineChars="200"/>
      <w:textAlignment w:val="baseline"/>
    </w:pPr>
    <w:rPr>
      <w:rFonts w:ascii="宋体" w:eastAsia="仿宋_GB2312"/>
      <w:color w:val="000000"/>
      <w:kern w:val="0"/>
      <w:sz w:val="24"/>
      <w:szCs w:val="20"/>
    </w:rPr>
  </w:style>
  <w:style w:type="character" w:customStyle="1" w:styleId="222">
    <w:name w:val="active"/>
    <w:basedOn w:val="42"/>
    <w:qFormat/>
    <w:uiPriority w:val="0"/>
    <w:rPr>
      <w:shd w:val="clear" w:fill="EC3535"/>
    </w:rPr>
  </w:style>
  <w:style w:type="paragraph" w:customStyle="1" w:styleId="223">
    <w:name w:val="*正文"/>
    <w:basedOn w:val="1"/>
    <w:qFormat/>
    <w:uiPriority w:val="0"/>
    <w:pPr>
      <w:spacing w:line="300" w:lineRule="auto"/>
      <w:ind w:firstLine="480" w:firstLineChars="200"/>
    </w:pPr>
    <w:rPr>
      <w:rFonts w:ascii="宋体" w:hAnsi="宋体"/>
      <w:kern w:val="0"/>
      <w:sz w:val="24"/>
      <w:lang w:val="zh-CN"/>
    </w:rPr>
  </w:style>
  <w:style w:type="paragraph" w:customStyle="1" w:styleId="224">
    <w:name w:val="_Style 1"/>
    <w:basedOn w:val="1"/>
    <w:qFormat/>
    <w:uiPriority w:val="34"/>
    <w:pPr>
      <w:ind w:firstLine="420" w:firstLineChars="200"/>
    </w:pPr>
  </w:style>
  <w:style w:type="paragraph" w:customStyle="1" w:styleId="225">
    <w:name w:val="列出段落1"/>
    <w:basedOn w:val="1"/>
    <w:qFormat/>
    <w:uiPriority w:val="34"/>
    <w:pPr>
      <w:ind w:firstLine="420" w:firstLineChars="200"/>
    </w:pPr>
  </w:style>
  <w:style w:type="paragraph" w:customStyle="1" w:styleId="2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7">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228">
    <w:name w:val="二级条标题"/>
    <w:basedOn w:val="229"/>
    <w:next w:val="226"/>
    <w:qFormat/>
    <w:uiPriority w:val="0"/>
    <w:pPr>
      <w:numPr>
        <w:ilvl w:val="3"/>
        <w:numId w:val="2"/>
      </w:numPr>
      <w:outlineLvl w:val="3"/>
    </w:pPr>
  </w:style>
  <w:style w:type="paragraph" w:customStyle="1" w:styleId="229">
    <w:name w:val="一级条标题"/>
    <w:next w:val="226"/>
    <w:qFormat/>
    <w:uiPriority w:val="0"/>
    <w:pPr>
      <w:numPr>
        <w:ilvl w:val="2"/>
        <w:numId w:val="2"/>
      </w:numPr>
      <w:outlineLvl w:val="2"/>
    </w:pPr>
    <w:rPr>
      <w:rFonts w:ascii="Times New Roman" w:hAnsi="Times New Roman" w:eastAsia="黑体" w:cs="Times New Roman"/>
      <w:sz w:val="21"/>
      <w:lang w:val="en-US" w:eastAsia="zh-CN" w:bidi="ar-SA"/>
    </w:rPr>
  </w:style>
  <w:style w:type="character" w:customStyle="1" w:styleId="230">
    <w:name w:val="font21"/>
    <w:basedOn w:val="42"/>
    <w:qFormat/>
    <w:uiPriority w:val="0"/>
    <w:rPr>
      <w:rFonts w:hint="eastAsia" w:ascii="仿宋" w:hAnsi="仿宋" w:eastAsia="仿宋" w:cs="仿宋"/>
      <w:color w:val="000000"/>
      <w:sz w:val="24"/>
      <w:szCs w:val="24"/>
      <w:u w:val="none"/>
    </w:rPr>
  </w:style>
  <w:style w:type="character" w:customStyle="1" w:styleId="231">
    <w:name w:val="font11"/>
    <w:basedOn w:val="42"/>
    <w:qFormat/>
    <w:uiPriority w:val="0"/>
    <w:rPr>
      <w:rFonts w:ascii="Calibri" w:hAnsi="Calibri" w:eastAsia="宋体" w:cs="Calibri"/>
      <w:color w:val="000000"/>
      <w:sz w:val="24"/>
      <w:szCs w:val="24"/>
      <w:u w:val="none"/>
    </w:rPr>
  </w:style>
  <w:style w:type="character" w:customStyle="1" w:styleId="232">
    <w:name w:val="font01"/>
    <w:basedOn w:val="42"/>
    <w:qFormat/>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new</Company>
  <Pages>66</Pages>
  <Words>6342</Words>
  <Characters>36152</Characters>
  <Lines>301</Lines>
  <Paragraphs>84</Paragraphs>
  <TotalTime>8</TotalTime>
  <ScaleCrop>false</ScaleCrop>
  <LinksUpToDate>false</LinksUpToDate>
  <CharactersWithSpaces>42410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2016-10-25T13:12:00Z</dcterms:created>
  <dc:creator>use</dc:creator>
  <cp:lastModifiedBy>蓝</cp:lastModifiedBy>
  <cp:lastPrinted>2020-04-28T01:30:00Z</cp:lastPrinted>
  <dcterms:modified xsi:type="dcterms:W3CDTF">2020-04-29T14:29:01Z</dcterms:modified>
  <dc:title>投    标     书</dc:title>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