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bidi="ar"/>
        </w:rPr>
        <w:t>关于报送本地区每千人口拥有</w:t>
      </w:r>
      <w:r>
        <w:rPr>
          <w:rFonts w:hint="eastAsia" w:ascii="方正小标宋简体" w:hAnsi="????" w:eastAsia="方正小标宋简体" w:cs="????"/>
          <w:kern w:val="0"/>
          <w:sz w:val="44"/>
          <w:szCs w:val="44"/>
          <w:lang w:bidi="ar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bidi="ar"/>
        </w:rPr>
        <w:t>岁以下</w:t>
      </w:r>
    </w:p>
    <w:p>
      <w:pPr>
        <w:widowControl/>
        <w:snapToGrid w:val="0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bidi="ar"/>
        </w:rPr>
        <w:t>婴幼儿托位数年度分解指标的通知</w:t>
      </w:r>
    </w:p>
    <w:p>
      <w:pPr>
        <w:widowControl/>
        <w:snapToGrid w:val="0"/>
        <w:jc w:val="center"/>
        <w:rPr>
          <w:rFonts w:ascii="????" w:hAnsi="????" w:eastAsia="Times New Roman" w:cs="????"/>
          <w:sz w:val="36"/>
          <w:szCs w:val="36"/>
        </w:rPr>
      </w:pPr>
    </w:p>
    <w:p>
      <w:pPr>
        <w:pStyle w:val="2"/>
        <w:widowControl/>
        <w:spacing w:beforeAutospacing="0" w:afterAutospacing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国卫办人口函〔</w:t>
      </w:r>
      <w:r>
        <w:rPr>
          <w:rFonts w:hint="eastAsia" w:ascii="仿宋_GB2312" w:hAnsi="????" w:eastAsia="仿宋_GB2312" w:cs="????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????" w:eastAsia="仿宋_GB2312" w:cs="????"/>
          <w:sz w:val="32"/>
          <w:szCs w:val="32"/>
        </w:rPr>
        <w:t>404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widowControl/>
        <w:snapToGrid w:val="0"/>
        <w:spacing w:line="590" w:lineRule="exact"/>
        <w:jc w:val="center"/>
        <w:rPr>
          <w:rFonts w:hint="eastAsia" w:ascii="仿宋_GB2312" w:hAnsi="????" w:cs="????"/>
          <w:sz w:val="36"/>
          <w:szCs w:val="36"/>
        </w:rPr>
      </w:pPr>
    </w:p>
    <w:p>
      <w:pPr>
        <w:pStyle w:val="2"/>
        <w:widowControl/>
        <w:snapToGrid w:val="0"/>
        <w:spacing w:beforeAutospacing="0" w:afterAutospacing="0" w:line="620" w:lineRule="exact"/>
        <w:jc w:val="both"/>
        <w:rPr>
          <w:rFonts w:hint="eastAsia" w:ascii="仿宋_GB2312" w:hAnsi="??" w:eastAsia="仿宋_GB2312" w:cs="??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各省、自治区、直辖市及新疆生产建设兵团卫生健康委、发展改革委：</w:t>
      </w:r>
    </w:p>
    <w:p>
      <w:pPr>
        <w:pStyle w:val="2"/>
        <w:widowControl/>
        <w:snapToGrid w:val="0"/>
        <w:spacing w:beforeAutospacing="0" w:afterAutospacing="0" w:line="620" w:lineRule="exact"/>
        <w:ind w:firstLine="640"/>
        <w:jc w:val="both"/>
        <w:rPr>
          <w:rFonts w:hint="eastAsia" w:ascii="仿宋_GB2312" w:hAnsi="??" w:eastAsia="仿宋_GB2312" w:cs="??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党的十九届五中全会和《中华人民共和国国民经济和社会发展第十四个五年规划和2035年远景目标纲要》精神，按期有效完成“十四五”时期经济社会发展主要指标—“每千人口拥有3岁以下婴幼儿托位数（个）”（以下简称千人口托位数）达到4.5个的目标任务，现将有关事项通知如下：</w:t>
      </w:r>
    </w:p>
    <w:p>
      <w:pPr>
        <w:pStyle w:val="2"/>
        <w:widowControl/>
        <w:snapToGrid w:val="0"/>
        <w:spacing w:beforeAutospacing="0" w:afterAutospacing="0" w:line="620" w:lineRule="exact"/>
        <w:ind w:firstLine="640"/>
        <w:jc w:val="both"/>
        <w:rPr>
          <w:rFonts w:hint="eastAsia" w:ascii="黑体" w:hAnsi="黑体" w:eastAsia="黑体" w:cs="??"/>
          <w:sz w:val="21"/>
          <w:szCs w:val="21"/>
        </w:rPr>
      </w:pPr>
      <w:r>
        <w:rPr>
          <w:rFonts w:hint="eastAsia" w:ascii="黑体" w:hAnsi="黑体" w:eastAsia="黑体" w:cs="黑体"/>
          <w:sz w:val="32"/>
          <w:szCs w:val="32"/>
        </w:rPr>
        <w:t>一、报送年度分解指标</w:t>
      </w:r>
    </w:p>
    <w:p>
      <w:pPr>
        <w:pStyle w:val="2"/>
        <w:widowControl/>
        <w:snapToGrid w:val="0"/>
        <w:spacing w:beforeAutospacing="0" w:afterAutospacing="0" w:line="620" w:lineRule="exact"/>
        <w:ind w:firstLine="640"/>
        <w:jc w:val="both"/>
        <w:rPr>
          <w:rFonts w:hint="eastAsia" w:ascii="仿宋_GB2312" w:hAnsi="??" w:eastAsia="仿宋_GB2312" w:cs="??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请各省（区、市）分解“十四五”时期本地区千人口托位数年度指标，按照工作要求填写报送。指标分解应坚持以下原则：</w:t>
      </w:r>
    </w:p>
    <w:p>
      <w:pPr>
        <w:pStyle w:val="2"/>
        <w:widowControl/>
        <w:snapToGrid w:val="0"/>
        <w:spacing w:beforeAutospacing="0" w:afterAutospacing="0" w:line="620" w:lineRule="exact"/>
        <w:ind w:firstLine="640"/>
        <w:jc w:val="both"/>
        <w:rPr>
          <w:rFonts w:hint="eastAsia" w:ascii="仿宋_GB2312" w:hAnsi="??" w:eastAsia="仿宋_GB2312" w:cs="??"/>
          <w:sz w:val="21"/>
          <w:szCs w:val="21"/>
        </w:rPr>
      </w:pPr>
      <w:r>
        <w:rPr>
          <w:rFonts w:hint="eastAsia" w:ascii="楷体_GB2312" w:hAnsi="??" w:eastAsia="楷体_GB2312" w:cs="楷体_GB2312"/>
          <w:sz w:val="32"/>
          <w:szCs w:val="32"/>
        </w:rPr>
        <w:t>（一）坚持目标导向。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以按期有效完成千人口托位数指标任务为根本目标。各地区要按照国家统一要求对标调整本地指标，到“十四五”末期千人口托位数原则上不得少于4.5个，并逐年分解托位数和托位建设任务。</w:t>
      </w:r>
    </w:p>
    <w:p>
      <w:pPr>
        <w:pStyle w:val="2"/>
        <w:widowControl/>
        <w:snapToGrid w:val="0"/>
        <w:spacing w:beforeAutospacing="0" w:afterAutospacing="0" w:line="620" w:lineRule="exact"/>
        <w:ind w:firstLine="640"/>
        <w:jc w:val="distribute"/>
        <w:rPr>
          <w:rFonts w:hint="eastAsia" w:ascii="仿宋_GB2312" w:hAnsi="??" w:eastAsia="仿宋_GB2312" w:cs="??"/>
          <w:sz w:val="21"/>
          <w:szCs w:val="21"/>
        </w:rPr>
      </w:pPr>
      <w:r>
        <w:rPr>
          <w:rFonts w:hint="eastAsia" w:ascii="楷体_GB2312" w:hAnsi="??" w:eastAsia="楷体_GB2312" w:cs="楷体_GB2312"/>
          <w:sz w:val="32"/>
          <w:szCs w:val="32"/>
        </w:rPr>
        <w:t>（二）坚持科学统计。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科学确定托位范围，确保数据质量。对不具备托育服务功能的早教、早培机构，不纳入统计范围。幼儿园开设托班招收3岁以下婴幼儿的，按实际入园婴幼儿数核定。家庭托育点按实际收托婴幼儿数核定。</w:t>
      </w:r>
    </w:p>
    <w:p>
      <w:pPr>
        <w:pStyle w:val="2"/>
        <w:widowControl/>
        <w:snapToGrid w:val="0"/>
        <w:spacing w:beforeAutospacing="0" w:afterAutospacing="0" w:line="590" w:lineRule="exact"/>
        <w:ind w:firstLine="640"/>
        <w:jc w:val="both"/>
        <w:rPr>
          <w:rFonts w:hint="eastAsia" w:ascii="仿宋_GB2312" w:hAnsi="??" w:eastAsia="仿宋_GB2312" w:cs="??"/>
          <w:sz w:val="21"/>
          <w:szCs w:val="21"/>
        </w:rPr>
      </w:pPr>
      <w:r>
        <w:rPr>
          <w:rFonts w:hint="eastAsia" w:ascii="楷体_GB2312" w:hAnsi="??" w:eastAsia="楷体_GB2312" w:cs="楷体_GB2312"/>
          <w:sz w:val="32"/>
          <w:szCs w:val="32"/>
        </w:rPr>
        <w:t>（三）坚持效果导向。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更好地满足婴幼儿照护服务需求为出发点，以本地常住人口为核定基数，在年度千人口托位数指标分解时，充分考虑每年常住人口总量变动情况，提前谋划、留有余量。对于育龄人口占比较高、未来一段时期新出生人口较多、托育服务需求较大的地区，应上浮指标值，合理增加“十四五”时期托位建设总量和每年建设数量，确保托育服务有效提供。</w:t>
      </w:r>
    </w:p>
    <w:p>
      <w:pPr>
        <w:pStyle w:val="2"/>
        <w:widowControl/>
        <w:snapToGrid w:val="0"/>
        <w:spacing w:beforeAutospacing="0" w:afterAutospacing="0" w:line="590" w:lineRule="exact"/>
        <w:ind w:firstLine="64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二、工作要求</w:t>
      </w:r>
    </w:p>
    <w:p>
      <w:pPr>
        <w:pStyle w:val="2"/>
        <w:widowControl/>
        <w:snapToGrid w:val="0"/>
        <w:spacing w:beforeAutospacing="0" w:afterAutospacing="0" w:line="590" w:lineRule="exact"/>
        <w:ind w:firstLine="640"/>
        <w:jc w:val="both"/>
        <w:rPr>
          <w:rFonts w:hint="eastAsia" w:ascii="仿宋_GB2312" w:hAnsi="??" w:eastAsia="仿宋_GB2312" w:cs="??"/>
          <w:sz w:val="21"/>
          <w:szCs w:val="21"/>
        </w:rPr>
      </w:pPr>
      <w:r>
        <w:rPr>
          <w:rFonts w:hint="eastAsia" w:ascii="楷体_GB2312" w:hAnsi="??" w:eastAsia="楷体_GB2312" w:cs="楷体_GB2312"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各省（区、市）卫生健康委和发展改革委要高度重视，加强统筹协调，广泛深入了解情况，确保本地区合理上报年度分解指标，共同按期有效完成千人口托位数指标。</w:t>
      </w:r>
    </w:p>
    <w:p>
      <w:pPr>
        <w:pStyle w:val="2"/>
        <w:widowControl/>
        <w:snapToGrid w:val="0"/>
        <w:spacing w:beforeAutospacing="0" w:afterAutospacing="0" w:line="590" w:lineRule="exact"/>
        <w:ind w:firstLine="640"/>
        <w:jc w:val="both"/>
        <w:rPr>
          <w:rFonts w:hint="eastAsia" w:ascii="仿宋_GB2312" w:hAnsi="??" w:eastAsia="仿宋_GB2312" w:cs="??"/>
          <w:sz w:val="21"/>
          <w:szCs w:val="21"/>
        </w:rPr>
      </w:pPr>
      <w:r>
        <w:rPr>
          <w:rFonts w:hint="eastAsia" w:ascii="楷体_GB2312" w:hAnsi="??" w:eastAsia="楷体_GB2312" w:cs="楷体_GB2312"/>
          <w:sz w:val="32"/>
          <w:szCs w:val="32"/>
        </w:rPr>
        <w:t>（二）认真审核上报。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省（区、市）卫生健康委和发展改革委要切实履行职责，遵守填报原则，认真审核上报数据。将《“十四五”时期本地区千人口托位数年度指标分解表》加盖本省（区、市）卫生健康委和发展改革委公章，于8月31日（周二）前报送国家卫生健康委和国家发展改革委。</w:t>
      </w:r>
    </w:p>
    <w:p>
      <w:pPr>
        <w:pStyle w:val="2"/>
        <w:widowControl/>
        <w:snapToGrid w:val="0"/>
        <w:spacing w:beforeAutospacing="0" w:afterAutospacing="0" w:line="590" w:lineRule="exact"/>
        <w:ind w:firstLine="640"/>
        <w:jc w:val="both"/>
        <w:rPr>
          <w:rFonts w:hint="eastAsia" w:ascii="仿宋_GB2312" w:hAnsi="??" w:eastAsia="仿宋_GB2312" w:cs="??"/>
          <w:sz w:val="21"/>
          <w:szCs w:val="21"/>
        </w:rPr>
      </w:pPr>
      <w:r>
        <w:rPr>
          <w:rFonts w:hint="eastAsia" w:ascii="楷体_GB2312" w:hAnsi="??" w:eastAsia="楷体_GB2312" w:cs="楷体_GB2312"/>
          <w:sz w:val="32"/>
          <w:szCs w:val="32"/>
        </w:rPr>
        <w:t>（三）以指标促落实。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制定并分解千人口托位数指标任务的同时，以指标任务完成作为工作导向，科学谋划托育服务设施数量、规模和布局，优化发展政策环境，健全工作机制。把《“十四五”积极应对人口老龄化工程和托育建设实施方案》中提出的“公办托育服务能力建设项目”、“普惠托育服务专项行动建设项目”等中央预算内投资支持项目，作为千人口托位数指标任务完成的重要工作抓手，以项目推进促任务落实。</w:t>
      </w:r>
    </w:p>
    <w:p>
      <w:pPr>
        <w:widowControl/>
        <w:snapToGrid w:val="0"/>
        <w:spacing w:line="590" w:lineRule="exact"/>
        <w:ind w:left="1600" w:hanging="960"/>
        <w:rPr>
          <w:rFonts w:hint="eastAsia" w:ascii="仿宋_GB2312" w:hAnsi="????" w:cs="????"/>
        </w:rPr>
      </w:pPr>
    </w:p>
    <w:p>
      <w:pPr>
        <w:widowControl/>
        <w:snapToGrid w:val="0"/>
        <w:spacing w:line="590" w:lineRule="exact"/>
        <w:ind w:firstLine="640" w:firstLineChars="200"/>
        <w:rPr>
          <w:rFonts w:hint="eastAsia" w:ascii="仿宋_GB2312" w:hAnsi="????" w:cs="????"/>
        </w:rPr>
      </w:pPr>
      <w:r>
        <w:rPr>
          <w:rFonts w:hint="eastAsia" w:ascii="仿宋_GB2312" w:hAnsi="????" w:cs="仿宋_GB2312"/>
          <w:kern w:val="0"/>
          <w:szCs w:val="32"/>
          <w:lang w:bidi="ar"/>
        </w:rPr>
        <w:t>附件：“十四五”时期本地区千人口托位数年度指标分解表</w:t>
      </w:r>
    </w:p>
    <w:p>
      <w:pPr>
        <w:widowControl/>
        <w:snapToGrid w:val="0"/>
        <w:spacing w:line="590" w:lineRule="exact"/>
        <w:ind w:firstLine="640"/>
        <w:jc w:val="right"/>
        <w:rPr>
          <w:rFonts w:hint="eastAsia" w:ascii="仿宋_GB2312" w:hAnsi="??" w:cs="??"/>
          <w:kern w:val="0"/>
          <w:szCs w:val="32"/>
          <w:lang w:bidi="ar"/>
        </w:rPr>
      </w:pPr>
    </w:p>
    <w:p>
      <w:pPr>
        <w:widowControl/>
        <w:snapToGrid w:val="0"/>
        <w:spacing w:line="590" w:lineRule="exact"/>
        <w:ind w:firstLine="640"/>
        <w:jc w:val="right"/>
        <w:rPr>
          <w:rFonts w:hint="eastAsia" w:ascii="仿宋_GB2312" w:hAnsi="????" w:cs="????"/>
        </w:rPr>
      </w:pPr>
    </w:p>
    <w:p>
      <w:pPr>
        <w:widowControl/>
        <w:snapToGrid w:val="0"/>
        <w:spacing w:line="590" w:lineRule="exact"/>
        <w:ind w:firstLine="640"/>
        <w:jc w:val="right"/>
        <w:rPr>
          <w:rFonts w:hint="eastAsia" w:ascii="仿宋_GB2312" w:hAnsi="????" w:cs="????"/>
        </w:rPr>
      </w:pPr>
    </w:p>
    <w:p>
      <w:pPr>
        <w:widowControl/>
        <w:tabs>
          <w:tab w:val="left" w:pos="7742"/>
        </w:tabs>
        <w:wordWrap w:val="0"/>
        <w:spacing w:line="600" w:lineRule="atLeast"/>
        <w:ind w:left="6080" w:right="640" w:hanging="5764"/>
        <w:rPr>
          <w:rFonts w:hint="eastAsia" w:ascii="仿宋_GB2312" w:hAnsi="????" w:cs="????"/>
        </w:rPr>
      </w:pPr>
      <w:r>
        <w:rPr>
          <w:rFonts w:hint="eastAsia" w:ascii="仿宋_GB2312" w:hAnsi="????" w:cs="仿宋_GB2312"/>
          <w:kern w:val="0"/>
          <w:szCs w:val="32"/>
          <w:lang w:bidi="ar"/>
        </w:rPr>
        <w:t xml:space="preserve"> 国家卫生健康委</w:t>
      </w:r>
      <w:r>
        <w:rPr>
          <w:rFonts w:hint="eastAsia" w:ascii="仿宋_GB2312" w:hAnsi="宋体" w:cs="宋体"/>
          <w:kern w:val="0"/>
          <w:szCs w:val="32"/>
          <w:lang w:bidi="ar"/>
        </w:rPr>
        <w:t>办公厅</w:t>
      </w:r>
      <w:r>
        <w:rPr>
          <w:rFonts w:hint="eastAsia" w:ascii="仿宋_GB2312" w:hAnsi="????" w:cs="仿宋_GB2312"/>
          <w:kern w:val="0"/>
          <w:szCs w:val="32"/>
          <w:lang w:bidi="ar"/>
        </w:rPr>
        <w:t xml:space="preserve">     国家发展改革委</w:t>
      </w:r>
      <w:r>
        <w:rPr>
          <w:rFonts w:hint="eastAsia" w:ascii="仿宋_GB2312" w:hAnsi="宋体" w:cs="宋体"/>
          <w:kern w:val="0"/>
          <w:szCs w:val="32"/>
          <w:lang w:bidi="ar"/>
        </w:rPr>
        <w:t>办公厅</w:t>
      </w:r>
    </w:p>
    <w:p>
      <w:pPr>
        <w:widowControl/>
        <w:spacing w:line="600" w:lineRule="atLeast"/>
        <w:ind w:left="4014" w:right="640" w:firstLine="960"/>
        <w:rPr>
          <w:rFonts w:hint="eastAsia" w:ascii="仿宋_GB2312" w:hAnsi="????" w:cs="????"/>
        </w:rPr>
      </w:pPr>
      <w:r>
        <w:rPr>
          <w:rFonts w:hint="eastAsia" w:ascii="仿宋_GB2312" w:hAnsi="????" w:cs="仿宋_GB2312"/>
          <w:kern w:val="0"/>
          <w:szCs w:val="32"/>
          <w:lang w:bidi="ar"/>
        </w:rPr>
        <w:t>2021年</w:t>
      </w:r>
      <w:r>
        <w:rPr>
          <w:rFonts w:hint="eastAsia" w:ascii="仿宋_GB2312" w:hAnsi="??" w:cs="??"/>
          <w:kern w:val="0"/>
          <w:szCs w:val="32"/>
          <w:lang w:bidi="ar"/>
        </w:rPr>
        <w:t>7</w:t>
      </w:r>
      <w:r>
        <w:rPr>
          <w:rFonts w:hint="eastAsia" w:ascii="仿宋_GB2312" w:hAnsi="????" w:cs="仿宋_GB2312"/>
          <w:kern w:val="0"/>
          <w:szCs w:val="32"/>
          <w:lang w:bidi="ar"/>
        </w:rPr>
        <w:t>月21日</w:t>
      </w:r>
    </w:p>
    <w:p>
      <w:pPr>
        <w:widowControl/>
        <w:spacing w:line="600" w:lineRule="atLeast"/>
        <w:ind w:firstLine="640"/>
        <w:rPr>
          <w:rFonts w:hint="eastAsia" w:ascii="仿宋_GB2312" w:hAnsi="????" w:cs="????"/>
        </w:rPr>
      </w:pPr>
      <w:r>
        <w:rPr>
          <w:rFonts w:hint="eastAsia" w:ascii="仿宋_GB2312" w:hAnsi="????" w:cs="仿宋_GB2312"/>
          <w:kern w:val="0"/>
          <w:szCs w:val="32"/>
          <w:lang w:bidi="ar"/>
        </w:rPr>
        <w:t>（信息公开形式：主动公开）</w:t>
      </w:r>
    </w:p>
    <w:p>
      <w:bookmarkStart w:id="0" w:name="_GoBack"/>
      <w:bookmarkEnd w:id="0"/>
    </w:p>
    <w:sectPr>
      <w:pgSz w:w="11906" w:h="16838"/>
      <w:pgMar w:top="181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159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2021-08-12T00:43:40Z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BBC220D8480542C1B22AA6A0C532DA07</vt:lpwstr>
  </property>
</Properties>
</file>