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kinsoku/>
        <w:wordWrap/>
        <w:overflowPunct/>
        <w:topLinePunct w:val="0"/>
        <w:autoSpaceDE/>
        <w:autoSpaceDN/>
        <w:bidi w:val="0"/>
        <w:adjustRightInd/>
        <w:snapToGrid/>
        <w:spacing w:line="590" w:lineRule="exact"/>
        <w:ind w:left="0" w:leftChars="0" w:firstLine="0" w:firstLineChars="0"/>
        <w:jc w:val="both"/>
        <w:textAlignment w:val="auto"/>
        <w:rPr>
          <w:rFonts w:hint="default" w:ascii="黑体" w:hAnsi="黑体" w:eastAsia="黑体" w:cs="黑体"/>
          <w:b w:val="0"/>
          <w:bCs w:val="0"/>
          <w:color w:val="000000"/>
          <w:kern w:val="2"/>
          <w:sz w:val="32"/>
          <w:szCs w:val="32"/>
          <w:lang w:val="en-US" w:eastAsia="zh-CN" w:bidi="ar-SA"/>
        </w:rPr>
      </w:pPr>
      <w:r>
        <w:rPr>
          <w:rFonts w:hint="eastAsia" w:ascii="黑体" w:hAnsi="黑体" w:eastAsia="黑体" w:cs="黑体"/>
          <w:b w:val="0"/>
          <w:bCs w:val="0"/>
          <w:color w:val="000000"/>
          <w:kern w:val="2"/>
          <w:sz w:val="32"/>
          <w:szCs w:val="32"/>
          <w:lang w:val="en" w:eastAsia="zh-CN" w:bidi="ar-SA"/>
        </w:rPr>
        <w:t>附件</w:t>
      </w:r>
    </w:p>
    <w:p>
      <w:pPr>
        <w:pStyle w:val="8"/>
        <w:keepNext w:val="0"/>
        <w:keepLines w:val="0"/>
        <w:pageBreakBefore w:val="0"/>
        <w:widowControl/>
        <w:kinsoku/>
        <w:wordWrap/>
        <w:overflowPunct/>
        <w:topLinePunct w:val="0"/>
        <w:autoSpaceDE/>
        <w:autoSpaceDN/>
        <w:bidi w:val="0"/>
        <w:adjustRightInd/>
        <w:snapToGrid/>
        <w:spacing w:line="590" w:lineRule="exact"/>
        <w:jc w:val="both"/>
        <w:textAlignment w:val="auto"/>
        <w:rPr>
          <w:rFonts w:hint="eastAsia" w:ascii="黑体" w:hAnsi="黑体" w:eastAsia="黑体" w:cs="黑体"/>
          <w:b w:val="0"/>
          <w:bCs w:val="0"/>
          <w:color w:val="000000"/>
          <w:kern w:val="2"/>
          <w:sz w:val="32"/>
          <w:szCs w:val="32"/>
          <w:lang w:val="en" w:eastAsia="zh-CN" w:bidi="ar-SA"/>
        </w:rPr>
      </w:pPr>
    </w:p>
    <w:p>
      <w:pPr>
        <w:keepNext w:val="0"/>
        <w:keepLines w:val="0"/>
        <w:pageBreakBefore w:val="0"/>
        <w:kinsoku/>
        <w:wordWrap/>
        <w:overflowPunct/>
        <w:topLinePunct w:val="0"/>
        <w:autoSpaceDE/>
        <w:autoSpaceDN/>
        <w:bidi w:val="0"/>
        <w:adjustRightInd/>
        <w:snapToGrid/>
        <w:spacing w:line="590" w:lineRule="exact"/>
        <w:jc w:val="center"/>
        <w:textAlignment w:val="center"/>
        <w:rPr>
          <w:rFonts w:hint="default"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聚焦问题补短板，精细管理促发展</w:t>
      </w:r>
    </w:p>
    <w:p>
      <w:pPr>
        <w:pStyle w:val="5"/>
        <w:keepNext w:val="0"/>
        <w:keepLines w:val="0"/>
        <w:pageBreakBefore w:val="0"/>
        <w:numPr>
          <w:ilvl w:val="0"/>
          <w:numId w:val="0"/>
        </w:numPr>
        <w:kinsoku/>
        <w:wordWrap/>
        <w:overflowPunct/>
        <w:topLinePunct w:val="0"/>
        <w:autoSpaceDE/>
        <w:autoSpaceDN/>
        <w:bidi w:val="0"/>
        <w:adjustRightInd/>
        <w:snapToGrid/>
        <w:spacing w:line="590" w:lineRule="exact"/>
        <w:jc w:val="center"/>
        <w:rPr>
          <w:rFonts w:hint="default" w:ascii="Times New Roman" w:hAnsi="Times New Roman" w:eastAsia="仿宋" w:cs="Times New Roman"/>
          <w:b/>
          <w:bCs/>
          <w:color w:val="000000"/>
          <w:kern w:val="2"/>
          <w:sz w:val="32"/>
          <w:szCs w:val="32"/>
          <w:lang w:val="en-US" w:eastAsia="zh-CN" w:bidi="ar-SA"/>
        </w:rPr>
      </w:pPr>
      <w:r>
        <w:rPr>
          <w:rFonts w:hint="eastAsia" w:ascii="方正小标宋简体" w:hAnsi="方正小标宋简体" w:eastAsia="方正小标宋简体" w:cs="方正小标宋简体"/>
          <w:b w:val="0"/>
          <w:bCs w:val="0"/>
          <w:color w:val="000000"/>
          <w:kern w:val="2"/>
          <w:sz w:val="32"/>
          <w:szCs w:val="32"/>
          <w:lang w:val="en-US" w:eastAsia="zh-CN" w:bidi="ar-SA"/>
        </w:rPr>
        <w:t>——建设医用耗材三级库</w:t>
      </w:r>
    </w:p>
    <w:p>
      <w:pPr>
        <w:pStyle w:val="5"/>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福建省老年医院</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center"/>
        <w:rPr>
          <w:rFonts w:hint="eastAsia" w:ascii="黑体" w:hAnsi="黑体" w:eastAsia="黑体" w:cs="黑体"/>
          <w:szCs w:val="32"/>
        </w:rPr>
      </w:pPr>
    </w:p>
    <w:p>
      <w:pPr>
        <w:keepNext w:val="0"/>
        <w:keepLines w:val="0"/>
        <w:pageBreakBefore w:val="0"/>
        <w:widowControl w:val="0"/>
        <w:numPr>
          <w:ilvl w:val="0"/>
          <w:numId w:val="0"/>
        </w:numPr>
        <w:kinsoku/>
        <w:wordWrap/>
        <w:overflowPunct/>
        <w:topLinePunct w:val="0"/>
        <w:autoSpaceDE/>
        <w:autoSpaceDN/>
        <w:bidi w:val="0"/>
        <w:adjustRightInd/>
        <w:snapToGrid w:val="0"/>
        <w:spacing w:line="610" w:lineRule="exact"/>
        <w:ind w:firstLine="640" w:firstLineChars="200"/>
        <w:textAlignment w:val="center"/>
        <w:rPr>
          <w:rFonts w:hint="eastAsia" w:ascii="Times New Roman" w:hAnsi="Times New Roman" w:eastAsia="仿宋" w:cs="Times New Roman"/>
          <w:szCs w:val="32"/>
        </w:rPr>
      </w:pPr>
      <w:r>
        <w:rPr>
          <w:rFonts w:hint="eastAsia" w:ascii="黑体" w:hAnsi="黑体" w:eastAsia="黑体" w:cs="黑体"/>
          <w:szCs w:val="32"/>
          <w:lang w:eastAsia="zh-CN"/>
        </w:rPr>
        <w:t>一</w:t>
      </w:r>
      <w:r>
        <w:rPr>
          <w:rFonts w:hint="eastAsia" w:ascii="黑体" w:hAnsi="黑体" w:eastAsia="黑体" w:cs="黑体"/>
          <w:szCs w:val="32"/>
        </w:rPr>
        <w:t>、背景介绍</w:t>
      </w:r>
    </w:p>
    <w:p>
      <w:pPr>
        <w:pStyle w:val="5"/>
        <w:keepNext w:val="0"/>
        <w:keepLines w:val="0"/>
        <w:pageBreakBefore w:val="0"/>
        <w:widowControl w:val="0"/>
        <w:kinsoku/>
        <w:wordWrap/>
        <w:overflowPunct/>
        <w:topLinePunct w:val="0"/>
        <w:autoSpaceDE/>
        <w:autoSpaceDN/>
        <w:bidi w:val="0"/>
        <w:adjustRightInd/>
        <w:snapToGrid w:val="0"/>
        <w:spacing w:line="610" w:lineRule="exact"/>
        <w:rPr>
          <w:rFonts w:hint="default" w:ascii="仿宋_GB2312" w:hAnsi="仿宋_GB2312" w:cs="仿宋_GB2312"/>
          <w:kern w:val="2"/>
          <w:sz w:val="32"/>
          <w:szCs w:val="32"/>
          <w:lang w:val="en-US" w:eastAsia="zh-CN" w:bidi="ar-SA"/>
        </w:rPr>
      </w:pPr>
      <w:r>
        <w:rPr>
          <w:rFonts w:hint="eastAsia" w:ascii="仿宋_GB2312" w:hAnsi="仿宋_GB2312" w:cs="仿宋_GB2312"/>
          <w:szCs w:val="32"/>
          <w:lang w:val="en-US" w:eastAsia="zh-CN"/>
        </w:rPr>
        <w:t>医用耗材是国有资产的重要组成部分，在医教研防关键环节发挥不可或缺的作用。医院医用耗材归口管理部门为设备科，负责办理</w:t>
      </w:r>
      <w:r>
        <w:rPr>
          <w:rFonts w:hint="eastAsia" w:ascii="仿宋_GB2312" w:hAnsi="宋体" w:eastAsia="仿宋_GB2312"/>
          <w:sz w:val="32"/>
          <w:szCs w:val="32"/>
        </w:rPr>
        <w:t>遴选、采购、验收、入库、保管、领用、出库、盘点、报废等</w:t>
      </w:r>
      <w:r>
        <w:rPr>
          <w:rFonts w:hint="eastAsia" w:ascii="仿宋_GB2312" w:hAnsi="宋体"/>
          <w:sz w:val="32"/>
          <w:szCs w:val="32"/>
          <w:lang w:val="en-US" w:eastAsia="zh-CN"/>
        </w:rPr>
        <w:t>相关业务。项目实施前医用耗材设置一级仓库设备科仓库和二级仓库供应室仓库，采用临床医技科室领用即核销的方式，即医用耗材在科室领用时确认为成本，减少库存数。这一方式存在以下</w:t>
      </w:r>
      <w:r>
        <w:rPr>
          <w:rFonts w:hint="eastAsia" w:ascii="仿宋_GB2312" w:hAnsi="仿宋_GB2312" w:cs="仿宋_GB2312"/>
          <w:szCs w:val="32"/>
          <w:lang w:val="en-US" w:eastAsia="zh-CN"/>
        </w:rPr>
        <w:t>几个方面的问题</w:t>
      </w:r>
      <w:r>
        <w:rPr>
          <w:rFonts w:hint="eastAsia" w:ascii="仿宋_GB2312" w:hAnsi="宋体"/>
          <w:sz w:val="32"/>
          <w:szCs w:val="32"/>
          <w:lang w:val="en-US" w:eastAsia="zh-CN"/>
        </w:rPr>
        <w:t>：</w:t>
      </w:r>
      <w:r>
        <w:rPr>
          <w:rFonts w:hint="eastAsia" w:ascii="仿宋_GB2312" w:hAnsi="宋体"/>
          <w:b/>
          <w:bCs/>
          <w:sz w:val="32"/>
          <w:szCs w:val="32"/>
          <w:lang w:val="en-US" w:eastAsia="zh-CN"/>
        </w:rPr>
        <w:t>一是</w:t>
      </w:r>
      <w:r>
        <w:rPr>
          <w:rFonts w:hint="eastAsia" w:ascii="仿宋_GB2312" w:hAnsi="宋体"/>
          <w:sz w:val="32"/>
          <w:szCs w:val="32"/>
          <w:lang w:val="en-US" w:eastAsia="zh-CN"/>
        </w:rPr>
        <w:t>临床医技科室领出备用的医用耗材在账外管理，资产核算不全面，存在账实不符的情况；</w:t>
      </w:r>
      <w:r>
        <w:rPr>
          <w:rFonts w:hint="eastAsia" w:ascii="仿宋_GB2312" w:hAnsi="宋体"/>
          <w:b/>
          <w:bCs/>
          <w:sz w:val="32"/>
          <w:szCs w:val="32"/>
          <w:lang w:val="en-US" w:eastAsia="zh-CN"/>
        </w:rPr>
        <w:t>二是</w:t>
      </w:r>
      <w:r>
        <w:rPr>
          <w:rFonts w:hint="eastAsia" w:ascii="仿宋_GB2312" w:hAnsi="宋体"/>
          <w:sz w:val="32"/>
          <w:szCs w:val="32"/>
          <w:lang w:val="en-US" w:eastAsia="zh-CN"/>
        </w:rPr>
        <w:t>临床医技科室对医用耗材的成本管控意识薄弱，如出现因未有效进行效期管理而发生浪费的现象；</w:t>
      </w:r>
      <w:r>
        <w:rPr>
          <w:rFonts w:hint="eastAsia" w:ascii="仿宋_GB2312" w:hAnsi="宋体"/>
          <w:b/>
          <w:bCs/>
          <w:sz w:val="32"/>
          <w:szCs w:val="32"/>
          <w:lang w:val="en-US" w:eastAsia="zh-CN"/>
        </w:rPr>
        <w:t>三是</w:t>
      </w:r>
      <w:r>
        <w:rPr>
          <w:rFonts w:hint="eastAsia" w:ascii="仿宋_GB2312" w:hAnsi="宋体"/>
          <w:sz w:val="32"/>
          <w:szCs w:val="32"/>
          <w:lang w:val="en-US" w:eastAsia="zh-CN"/>
        </w:rPr>
        <w:t>可收费医用耗材的收费环节与核销环节相互脱</w:t>
      </w:r>
      <w:r>
        <w:rPr>
          <w:rFonts w:hint="eastAsia" w:ascii="仿宋_GB2312" w:hAnsi="仿宋_GB2312" w:cs="仿宋_GB2312"/>
          <w:kern w:val="2"/>
          <w:sz w:val="32"/>
          <w:szCs w:val="32"/>
          <w:lang w:val="en-US" w:eastAsia="zh-CN" w:bidi="ar-SA"/>
        </w:rPr>
        <w:t>节，容易出现数量不匹配，收费不准确的情况。</w:t>
      </w:r>
      <w:r>
        <w:rPr>
          <w:rFonts w:hint="eastAsia" w:ascii="仿宋_GB2312" w:hAnsi="仿宋_GB2312" w:eastAsia="仿宋_GB2312" w:cs="仿宋_GB2312"/>
          <w:color w:val="000000"/>
          <w:kern w:val="2"/>
          <w:sz w:val="32"/>
          <w:szCs w:val="32"/>
          <w:lang w:val="en-US" w:eastAsia="zh-CN" w:bidi="ar-SA"/>
        </w:rPr>
        <w:t>针对</w:t>
      </w:r>
      <w:r>
        <w:rPr>
          <w:rFonts w:hint="eastAsia" w:ascii="仿宋_GB2312" w:hAnsi="仿宋_GB2312" w:cs="仿宋_GB2312"/>
          <w:color w:val="000000"/>
          <w:kern w:val="2"/>
          <w:sz w:val="32"/>
          <w:szCs w:val="32"/>
          <w:lang w:val="en-US" w:eastAsia="zh-CN" w:bidi="ar-SA"/>
        </w:rPr>
        <w:t>以上</w:t>
      </w:r>
      <w:r>
        <w:rPr>
          <w:rFonts w:hint="eastAsia" w:ascii="仿宋_GB2312" w:hAnsi="仿宋_GB2312" w:eastAsia="仿宋_GB2312" w:cs="仿宋_GB2312"/>
          <w:color w:val="000000"/>
          <w:kern w:val="2"/>
          <w:sz w:val="32"/>
          <w:szCs w:val="32"/>
          <w:lang w:val="en-US" w:eastAsia="zh-CN" w:bidi="ar-SA"/>
        </w:rPr>
        <w:t>情况，</w:t>
      </w:r>
      <w:r>
        <w:rPr>
          <w:rFonts w:hint="eastAsia" w:ascii="仿宋_GB2312" w:hAnsi="仿宋_GB2312" w:cs="仿宋_GB2312"/>
          <w:color w:val="000000"/>
          <w:kern w:val="2"/>
          <w:sz w:val="32"/>
          <w:szCs w:val="32"/>
          <w:lang w:val="en-US" w:eastAsia="zh-CN" w:bidi="ar-SA"/>
        </w:rPr>
        <w:t>福建省老年</w:t>
      </w:r>
      <w:r>
        <w:rPr>
          <w:rFonts w:hint="eastAsia" w:ascii="仿宋_GB2312" w:hAnsi="仿宋_GB2312" w:eastAsia="仿宋_GB2312" w:cs="仿宋_GB2312"/>
          <w:color w:val="000000"/>
          <w:kern w:val="2"/>
          <w:sz w:val="32"/>
          <w:szCs w:val="32"/>
          <w:lang w:val="en-US" w:eastAsia="zh-CN" w:bidi="ar-SA"/>
        </w:rPr>
        <w:t>医院决定</w:t>
      </w:r>
      <w:r>
        <w:rPr>
          <w:rFonts w:hint="eastAsia" w:ascii="仿宋_GB2312" w:hAnsi="仿宋_GB2312" w:cs="仿宋_GB2312"/>
          <w:szCs w:val="32"/>
          <w:lang w:val="en-US" w:eastAsia="zh-CN"/>
        </w:rPr>
        <w:t>从2021年3月份启动医用耗材三级库建设项目</w:t>
      </w:r>
      <w:r>
        <w:rPr>
          <w:rFonts w:hint="eastAsia" w:ascii="仿宋_GB2312" w:hAnsi="仿宋_GB2312" w:eastAsia="仿宋_GB2312" w:cs="仿宋_GB2312"/>
          <w:color w:val="000000"/>
          <w:kern w:val="2"/>
          <w:sz w:val="32"/>
          <w:szCs w:val="32"/>
          <w:lang w:val="en-US" w:eastAsia="zh-CN" w:bidi="ar-SA"/>
        </w:rPr>
        <w:t>，</w:t>
      </w:r>
      <w:r>
        <w:rPr>
          <w:rFonts w:hint="eastAsia" w:ascii="仿宋_GB2312" w:hAnsi="仿宋_GB2312" w:cs="仿宋_GB2312"/>
          <w:color w:val="000000"/>
          <w:kern w:val="2"/>
          <w:sz w:val="32"/>
          <w:szCs w:val="32"/>
          <w:lang w:val="en-US" w:eastAsia="zh-CN" w:bidi="ar-SA"/>
        </w:rPr>
        <w:t>要求强化管控力度，规范管理程序，</w:t>
      </w:r>
      <w:r>
        <w:rPr>
          <w:rFonts w:hint="eastAsia" w:ascii="仿宋_GB2312" w:hAnsi="仿宋_GB2312" w:eastAsia="仿宋_GB2312" w:cs="仿宋_GB2312"/>
          <w:color w:val="000000"/>
          <w:kern w:val="2"/>
          <w:sz w:val="32"/>
          <w:szCs w:val="32"/>
          <w:lang w:val="en-US" w:eastAsia="zh-CN" w:bidi="ar-SA"/>
        </w:rPr>
        <w:t>从而</w:t>
      </w:r>
      <w:r>
        <w:rPr>
          <w:rFonts w:hint="eastAsia" w:ascii="仿宋_GB2312" w:hAnsi="仿宋_GB2312" w:cs="仿宋_GB2312"/>
          <w:color w:val="000000"/>
          <w:kern w:val="2"/>
          <w:sz w:val="32"/>
          <w:szCs w:val="32"/>
          <w:lang w:val="en-US" w:eastAsia="zh-CN" w:bidi="ar-SA"/>
        </w:rPr>
        <w:t>加强资产管理、收费管理，</w:t>
      </w:r>
      <w:r>
        <w:rPr>
          <w:rFonts w:hint="eastAsia" w:ascii="仿宋_GB2312" w:hAnsi="仿宋_GB2312" w:eastAsia="仿宋_GB2312" w:cs="仿宋_GB2312"/>
          <w:color w:val="000000"/>
          <w:kern w:val="2"/>
          <w:sz w:val="32"/>
          <w:szCs w:val="32"/>
          <w:lang w:val="en-US" w:eastAsia="zh-CN" w:bidi="ar-SA"/>
        </w:rPr>
        <w:t>降低成本，减轻负担。</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center"/>
        <w:rPr>
          <w:rFonts w:hint="eastAsia" w:ascii="黑体" w:hAnsi="黑体" w:eastAsia="黑体" w:cs="黑体"/>
          <w:szCs w:val="32"/>
        </w:rPr>
      </w:pPr>
      <w:r>
        <w:rPr>
          <w:rFonts w:hint="eastAsia" w:ascii="黑体" w:hAnsi="黑体" w:eastAsia="黑体" w:cs="黑体"/>
          <w:szCs w:val="32"/>
          <w:lang w:eastAsia="zh-CN"/>
        </w:rPr>
        <w:t>二</w:t>
      </w:r>
      <w:r>
        <w:rPr>
          <w:rFonts w:hint="eastAsia" w:ascii="黑体" w:hAnsi="黑体" w:eastAsia="黑体" w:cs="黑体"/>
          <w:szCs w:val="32"/>
        </w:rPr>
        <w:t>、亮点做法</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center"/>
        <w:rPr>
          <w:rFonts w:hint="eastAsia" w:ascii="楷体_GB2312" w:hAnsi="楷体_GB2312" w:eastAsia="楷体_GB2312" w:cs="楷体_GB2312"/>
          <w:b/>
          <w:bCs/>
          <w:szCs w:val="32"/>
          <w:lang w:val="en-US" w:eastAsia="zh-CN"/>
        </w:rPr>
      </w:pPr>
      <w:r>
        <w:rPr>
          <w:rFonts w:hint="eastAsia" w:ascii="楷体_GB2312" w:hAnsi="楷体_GB2312" w:eastAsia="楷体_GB2312" w:cs="楷体_GB2312"/>
          <w:b/>
          <w:bCs/>
          <w:szCs w:val="32"/>
          <w:lang w:val="en-US" w:eastAsia="zh-CN"/>
        </w:rPr>
        <w:t>（一）强调组织保障，落实责任分工</w:t>
      </w:r>
    </w:p>
    <w:p>
      <w:pPr>
        <w:pStyle w:val="5"/>
        <w:keepNext w:val="0"/>
        <w:keepLines w:val="0"/>
        <w:pageBreakBefore w:val="0"/>
        <w:widowControl w:val="0"/>
        <w:kinsoku/>
        <w:wordWrap/>
        <w:overflowPunct/>
        <w:topLinePunct w:val="0"/>
        <w:autoSpaceDE/>
        <w:autoSpaceDN/>
        <w:bidi w:val="0"/>
        <w:adjustRightInd/>
        <w:snapToGrid/>
        <w:spacing w:line="590" w:lineRule="exact"/>
        <w:rPr>
          <w:rFonts w:hint="eastAsia" w:ascii="仿宋_GB2312" w:hAnsi="仿宋_GB2312" w:cs="仿宋_GB2312"/>
          <w:szCs w:val="32"/>
          <w:lang w:val="en-US" w:eastAsia="zh-CN"/>
        </w:rPr>
      </w:pPr>
      <w:r>
        <w:rPr>
          <w:rFonts w:hint="eastAsia" w:ascii="仿宋_GB2312" w:hAnsi="仿宋_GB2312" w:cs="仿宋_GB2312"/>
          <w:szCs w:val="32"/>
          <w:lang w:val="en-US" w:eastAsia="zh-CN"/>
        </w:rPr>
        <w:t>医用耗材三级库建设项目得到医院党委的高度重视，多次专题研究讨论相关议题事项；分阶段制定工作方案，院长亲自部署，院领导班子成员各自负责，并从财务科、信息科、设备科抽调专人实施，指定各科室资产管理员承担三级库管理员职责；确定工作时间进度，推动持续完善专项工作。</w:t>
      </w:r>
    </w:p>
    <w:p>
      <w:pPr>
        <w:pStyle w:val="5"/>
        <w:keepNext w:val="0"/>
        <w:keepLines w:val="0"/>
        <w:pageBreakBefore w:val="0"/>
        <w:widowControl w:val="0"/>
        <w:kinsoku/>
        <w:wordWrap/>
        <w:overflowPunct/>
        <w:topLinePunct w:val="0"/>
        <w:autoSpaceDE/>
        <w:autoSpaceDN/>
        <w:bidi w:val="0"/>
        <w:adjustRightInd/>
        <w:snapToGrid/>
        <w:spacing w:line="590" w:lineRule="exact"/>
        <w:rPr>
          <w:rFonts w:hint="default" w:ascii="楷体_GB2312" w:hAnsi="楷体_GB2312" w:eastAsia="楷体_GB2312" w:cs="楷体_GB2312"/>
          <w:b/>
          <w:bCs/>
          <w:szCs w:val="32"/>
          <w:lang w:val="en-US" w:eastAsia="zh-CN"/>
        </w:rPr>
      </w:pPr>
      <w:r>
        <w:rPr>
          <w:rFonts w:hint="eastAsia" w:ascii="楷体_GB2312" w:hAnsi="楷体_GB2312" w:eastAsia="楷体_GB2312" w:cs="楷体_GB2312"/>
          <w:b/>
          <w:bCs/>
          <w:szCs w:val="32"/>
          <w:lang w:val="en-US" w:eastAsia="zh-CN"/>
        </w:rPr>
        <w:t>（二）广泛宣传部署，强化监督管理</w:t>
      </w:r>
    </w:p>
    <w:p>
      <w:pPr>
        <w:pStyle w:val="5"/>
        <w:keepNext w:val="0"/>
        <w:keepLines w:val="0"/>
        <w:pageBreakBefore w:val="0"/>
        <w:widowControl w:val="0"/>
        <w:kinsoku/>
        <w:wordWrap/>
        <w:overflowPunct/>
        <w:topLinePunct w:val="0"/>
        <w:autoSpaceDE/>
        <w:autoSpaceDN/>
        <w:bidi w:val="0"/>
        <w:adjustRightInd/>
        <w:snapToGrid/>
        <w:spacing w:line="590" w:lineRule="exact"/>
        <w:rPr>
          <w:rFonts w:hint="eastAsia" w:ascii="仿宋_GB2312" w:hAnsi="仿宋_GB2312" w:cs="仿宋_GB2312"/>
          <w:szCs w:val="32"/>
          <w:lang w:val="en-US" w:eastAsia="zh-CN"/>
        </w:rPr>
      </w:pPr>
      <w:r>
        <w:rPr>
          <w:rFonts w:hint="eastAsia" w:ascii="仿宋_GB2312" w:hAnsi="仿宋_GB2312" w:cs="仿宋_GB2312"/>
          <w:szCs w:val="32"/>
          <w:lang w:val="en-US" w:eastAsia="zh-CN"/>
        </w:rPr>
        <w:t>医院多次召开专项工作会议，医院纪委参与工作部署，结合医疗结构及其工作人员廉洁从业行动计划中对重点耗材细化管理的要求，强调医用耗材管理风险，细化专项工作任务，要求责任科室和责任人统一思想，增强管理意识，遵守工作纪律，切实按期完成专项工作。期间多次组织院内政策宣讲培训，内容包括医疗服务价格收费管理、医疗保障基金使用监督管理条例等，不断加强临床医技部门对医用耗材合规收费工作的重视，提高管理要求和水平。</w:t>
      </w:r>
    </w:p>
    <w:p>
      <w:pPr>
        <w:pStyle w:val="5"/>
        <w:keepNext w:val="0"/>
        <w:keepLines w:val="0"/>
        <w:pageBreakBefore w:val="0"/>
        <w:widowControl w:val="0"/>
        <w:kinsoku/>
        <w:wordWrap/>
        <w:overflowPunct/>
        <w:topLinePunct w:val="0"/>
        <w:autoSpaceDE/>
        <w:autoSpaceDN/>
        <w:bidi w:val="0"/>
        <w:adjustRightInd/>
        <w:snapToGrid/>
        <w:spacing w:line="590" w:lineRule="exact"/>
        <w:rPr>
          <w:rFonts w:hint="default" w:ascii="楷体_GB2312" w:hAnsi="楷体_GB2312" w:eastAsia="楷体_GB2312" w:cs="楷体_GB2312"/>
          <w:b/>
          <w:bCs/>
          <w:szCs w:val="32"/>
          <w:lang w:val="en-US" w:eastAsia="zh-CN"/>
        </w:rPr>
      </w:pPr>
      <w:r>
        <w:rPr>
          <w:rFonts w:hint="eastAsia" w:ascii="楷体_GB2312" w:hAnsi="楷体_GB2312" w:eastAsia="楷体_GB2312" w:cs="楷体_GB2312"/>
          <w:b/>
          <w:bCs/>
          <w:szCs w:val="32"/>
          <w:lang w:val="en-US" w:eastAsia="zh-CN"/>
        </w:rPr>
        <w:t>（三）分期分步实施，跟踪分析推进</w:t>
      </w:r>
    </w:p>
    <w:p>
      <w:pPr>
        <w:pStyle w:val="5"/>
        <w:keepNext w:val="0"/>
        <w:keepLines w:val="0"/>
        <w:pageBreakBefore w:val="0"/>
        <w:widowControl w:val="0"/>
        <w:kinsoku/>
        <w:wordWrap/>
        <w:overflowPunct/>
        <w:topLinePunct w:val="0"/>
        <w:autoSpaceDE/>
        <w:autoSpaceDN/>
        <w:bidi w:val="0"/>
        <w:adjustRightInd/>
        <w:snapToGrid/>
        <w:spacing w:line="590" w:lineRule="exact"/>
        <w:rPr>
          <w:rFonts w:hint="eastAsia" w:ascii="仿宋_GB2312" w:hAnsi="仿宋_GB2312" w:cs="仿宋_GB2312"/>
          <w:szCs w:val="32"/>
          <w:lang w:val="en-US" w:eastAsia="zh-CN"/>
        </w:rPr>
      </w:pPr>
      <w:r>
        <w:rPr>
          <w:rFonts w:hint="eastAsia" w:ascii="仿宋_GB2312" w:hAnsi="仿宋_GB2312" w:cs="仿宋_GB2312"/>
          <w:szCs w:val="32"/>
          <w:lang w:val="en-US" w:eastAsia="zh-CN"/>
        </w:rPr>
        <w:t>1.首先信息科组织完成信息系统改造，建立三级库管理平台，实现与一、二级仓库物资信息流的准确核算；打通可收费医用耗材的核销与收费环节，确保准确联动，医用耗材在收费行为发生时同步核减库存数。</w:t>
      </w:r>
    </w:p>
    <w:p>
      <w:pPr>
        <w:pStyle w:val="5"/>
        <w:keepNext w:val="0"/>
        <w:keepLines w:val="0"/>
        <w:pageBreakBefore w:val="0"/>
        <w:widowControl w:val="0"/>
        <w:kinsoku/>
        <w:wordWrap/>
        <w:overflowPunct/>
        <w:topLinePunct w:val="0"/>
        <w:autoSpaceDE/>
        <w:autoSpaceDN/>
        <w:bidi w:val="0"/>
        <w:adjustRightInd/>
        <w:snapToGrid w:val="0"/>
        <w:spacing w:line="570" w:lineRule="exact"/>
        <w:rPr>
          <w:rFonts w:hint="eastAsia" w:ascii="仿宋_GB2312" w:hAnsi="仿宋_GB2312" w:cs="仿宋_GB2312"/>
          <w:szCs w:val="32"/>
          <w:lang w:val="en-US" w:eastAsia="zh-CN"/>
        </w:rPr>
      </w:pPr>
      <w:r>
        <w:rPr>
          <w:rFonts w:hint="eastAsia" w:ascii="仿宋_GB2312" w:hAnsi="仿宋_GB2312" w:cs="仿宋_GB2312"/>
          <w:szCs w:val="32"/>
          <w:lang w:val="en-US" w:eastAsia="zh-CN"/>
        </w:rPr>
        <w:t>2.对比三年来的历史数据，综合考虑科室资产管理能力，首期选取呼吸与危重症医学科等10个重点临床医技科室进行一期建库，先将可收费医用耗材纳入管理范围，总规模覆盖率达50%左右。</w:t>
      </w:r>
    </w:p>
    <w:p>
      <w:pPr>
        <w:pStyle w:val="5"/>
        <w:keepNext w:val="0"/>
        <w:keepLines w:val="0"/>
        <w:pageBreakBefore w:val="0"/>
        <w:widowControl w:val="0"/>
        <w:kinsoku/>
        <w:wordWrap/>
        <w:overflowPunct/>
        <w:topLinePunct w:val="0"/>
        <w:autoSpaceDE/>
        <w:autoSpaceDN/>
        <w:bidi w:val="0"/>
        <w:adjustRightInd/>
        <w:snapToGrid w:val="0"/>
        <w:spacing w:line="570" w:lineRule="exact"/>
        <w:rPr>
          <w:rFonts w:hint="eastAsia" w:ascii="仿宋_GB2312" w:hAnsi="仿宋_GB2312" w:cs="仿宋_GB2312"/>
          <w:szCs w:val="32"/>
          <w:lang w:val="en-US" w:eastAsia="zh-CN"/>
        </w:rPr>
      </w:pPr>
      <w:r>
        <w:rPr>
          <w:rFonts w:hint="eastAsia" w:ascii="仿宋_GB2312" w:hAnsi="仿宋_GB2312" w:cs="仿宋_GB2312"/>
          <w:szCs w:val="32"/>
          <w:lang w:val="en-US" w:eastAsia="zh-CN"/>
        </w:rPr>
        <w:t>3.建库科室按要求时间盘点确认各自三级库可收费医用耗材实际数量，完成建账、录入、确认报账等工作。3月底财务科将建账情况向院办公会、党委会汇报，根据会议意见进行账务处理。</w:t>
      </w:r>
    </w:p>
    <w:p>
      <w:pPr>
        <w:pStyle w:val="5"/>
        <w:keepNext w:val="0"/>
        <w:keepLines w:val="0"/>
        <w:pageBreakBefore w:val="0"/>
        <w:widowControl w:val="0"/>
        <w:kinsoku/>
        <w:wordWrap/>
        <w:overflowPunct/>
        <w:topLinePunct w:val="0"/>
        <w:autoSpaceDE/>
        <w:autoSpaceDN/>
        <w:bidi w:val="0"/>
        <w:adjustRightInd/>
        <w:snapToGrid w:val="0"/>
        <w:spacing w:line="570" w:lineRule="exact"/>
        <w:rPr>
          <w:rFonts w:hint="default" w:ascii="仿宋_GB2312" w:hAnsi="仿宋_GB2312" w:cs="仿宋_GB2312"/>
          <w:szCs w:val="32"/>
          <w:lang w:val="en-US" w:eastAsia="zh-CN"/>
        </w:rPr>
      </w:pPr>
      <w:r>
        <w:rPr>
          <w:rFonts w:hint="eastAsia" w:ascii="仿宋_GB2312" w:hAnsi="仿宋_GB2312" w:cs="仿宋_GB2312"/>
          <w:szCs w:val="32"/>
          <w:lang w:val="en-US" w:eastAsia="zh-CN"/>
        </w:rPr>
        <w:t>4.实际运过程中，财务科持续跟踪分析三级库数据，建立工作微信群，与各部门积极沟通协调，发现问题、解决问题，及时进行项目回顾，总结经验教训，遇重大问题及时汇报。</w:t>
      </w:r>
    </w:p>
    <w:p>
      <w:pPr>
        <w:pStyle w:val="5"/>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firstLine="640" w:firstLineChars="200"/>
        <w:rPr>
          <w:rFonts w:hint="eastAsia" w:ascii="仿宋_GB2312" w:hAnsi="仿宋_GB2312" w:cs="仿宋_GB2312"/>
          <w:szCs w:val="32"/>
          <w:lang w:val="en-US" w:eastAsia="zh-CN"/>
        </w:rPr>
      </w:pPr>
      <w:r>
        <w:rPr>
          <w:rFonts w:hint="eastAsia" w:ascii="仿宋_GB2312" w:hAnsi="仿宋_GB2312" w:cs="仿宋_GB2312"/>
          <w:szCs w:val="32"/>
          <w:lang w:val="en-US" w:eastAsia="zh-CN"/>
        </w:rPr>
        <w:t>5.根据首期建库运行情况，11月份医院进一步推动三级库建设项目深入开展，部署全院各临床医技科室全面开展建库核算工作，并将不可收费高值医用耗材纳入管理范围。</w:t>
      </w:r>
    </w:p>
    <w:p>
      <w:pPr>
        <w:pStyle w:val="5"/>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firstLine="640" w:firstLineChars="200"/>
        <w:rPr>
          <w:rFonts w:hint="default" w:ascii="仿宋_GB2312" w:hAnsi="仿宋_GB2312" w:cs="仿宋_GB2312"/>
          <w:szCs w:val="32"/>
          <w:lang w:val="en-US" w:eastAsia="zh-CN"/>
        </w:rPr>
      </w:pPr>
      <w:r>
        <w:rPr>
          <w:rFonts w:hint="eastAsia" w:ascii="仿宋_GB2312" w:hAnsi="仿宋_GB2312" w:cs="仿宋_GB2312"/>
          <w:szCs w:val="32"/>
          <w:lang w:val="en-US" w:eastAsia="zh-CN"/>
        </w:rPr>
        <w:t>6.财务科、纪检办加强监管力度，为持续完善医用耗材管理奠定氛围基础，要求各科室根据时间进度安排，确保年底前全面完成全院建库核算工作，进一步完善信息报表系统，夯实医用耗材三级库账实数据。</w:t>
      </w:r>
    </w:p>
    <w:p>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firstLine="640" w:firstLineChars="200"/>
        <w:textAlignment w:val="center"/>
        <w:rPr>
          <w:rFonts w:hint="eastAsia" w:ascii="黑体" w:hAnsi="黑体" w:eastAsia="黑体" w:cs="黑体"/>
          <w:szCs w:val="32"/>
        </w:rPr>
      </w:pPr>
      <w:r>
        <w:rPr>
          <w:rFonts w:hint="eastAsia" w:ascii="黑体" w:hAnsi="黑体" w:eastAsia="黑体" w:cs="黑体"/>
          <w:szCs w:val="32"/>
          <w:lang w:eastAsia="zh-CN"/>
        </w:rPr>
        <w:t>三</w:t>
      </w:r>
      <w:r>
        <w:rPr>
          <w:rFonts w:hint="eastAsia" w:ascii="黑体" w:hAnsi="黑体" w:eastAsia="黑体" w:cs="黑体"/>
          <w:szCs w:val="32"/>
        </w:rPr>
        <w:t>、</w:t>
      </w:r>
      <w:r>
        <w:rPr>
          <w:rFonts w:hint="default" w:ascii="黑体" w:hAnsi="黑体" w:eastAsia="黑体" w:cs="黑体"/>
          <w:szCs w:val="32"/>
        </w:rPr>
        <w:t>实施效果</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center"/>
        <w:rPr>
          <w:rFonts w:hint="default" w:ascii="仿宋_GB2312" w:hAnsi="仿宋_GB2312" w:eastAsia="仿宋_GB2312" w:cs="仿宋_GB2312"/>
          <w:szCs w:val="32"/>
        </w:rPr>
      </w:pPr>
      <w:r>
        <w:rPr>
          <w:rFonts w:hint="eastAsia" w:ascii="仿宋_GB2312" w:hAnsi="仿宋_GB2312" w:cs="仿宋_GB2312"/>
          <w:szCs w:val="32"/>
          <w:lang w:val="en-US" w:eastAsia="zh-CN"/>
        </w:rPr>
        <w:t>项目实施以来，责任科室积极研究讨论解决问题的路径方法，全院各科室予以支持配合，取得了一定的管理效果和成绩</w:t>
      </w:r>
      <w:r>
        <w:rPr>
          <w:rFonts w:hint="default" w:ascii="仿宋_GB2312" w:hAnsi="仿宋_GB2312" w:eastAsia="仿宋_GB2312" w:cs="仿宋_GB2312"/>
          <w:szCs w:val="32"/>
        </w:rPr>
        <w:t>。</w:t>
      </w:r>
    </w:p>
    <w:p>
      <w:pPr>
        <w:pStyle w:val="5"/>
        <w:keepNext w:val="0"/>
        <w:keepLines w:val="0"/>
        <w:pageBreakBefore w:val="0"/>
        <w:widowControl w:val="0"/>
        <w:kinsoku/>
        <w:wordWrap/>
        <w:overflowPunct/>
        <w:topLinePunct w:val="0"/>
        <w:autoSpaceDE/>
        <w:autoSpaceDN/>
        <w:bidi w:val="0"/>
        <w:adjustRightInd/>
        <w:snapToGrid w:val="0"/>
        <w:spacing w:after="0" w:line="570" w:lineRule="exact"/>
        <w:rPr>
          <w:rFonts w:hint="default" w:ascii="仿宋_GB2312" w:hAnsi="仿宋_GB2312" w:cs="仿宋_GB2312"/>
          <w:szCs w:val="32"/>
          <w:lang w:val="en-US" w:eastAsia="zh-CN"/>
        </w:rPr>
      </w:pPr>
      <w:r>
        <w:rPr>
          <w:rFonts w:hint="eastAsia" w:ascii="仿宋_GB2312" w:hAnsi="仿宋_GB2312" w:cs="仿宋_GB2312"/>
          <w:szCs w:val="32"/>
          <w:lang w:val="en-US" w:eastAsia="zh-CN"/>
        </w:rPr>
        <w:t>（一）进一步强化资产管理要求，增强资产管理意识，医院在此基础上完善制度建设，建立长效管理机制，修订了《医用耗材管理办法》《存货管理制度》等。</w:t>
      </w:r>
    </w:p>
    <w:p>
      <w:pPr>
        <w:pStyle w:val="5"/>
        <w:keepNext w:val="0"/>
        <w:keepLines w:val="0"/>
        <w:pageBreakBefore w:val="0"/>
        <w:widowControl w:val="0"/>
        <w:kinsoku/>
        <w:wordWrap/>
        <w:overflowPunct/>
        <w:topLinePunct w:val="0"/>
        <w:autoSpaceDE/>
        <w:autoSpaceDN/>
        <w:bidi w:val="0"/>
        <w:adjustRightInd/>
        <w:snapToGrid w:val="0"/>
        <w:spacing w:after="0" w:line="570" w:lineRule="exact"/>
        <w:rPr>
          <w:rFonts w:hint="eastAsia" w:ascii="仿宋_GB2312" w:hAnsi="仿宋_GB2312" w:cs="仿宋_GB2312"/>
          <w:szCs w:val="32"/>
          <w:lang w:val="en-US" w:eastAsia="zh-CN"/>
        </w:rPr>
      </w:pPr>
      <w:r>
        <w:rPr>
          <w:rFonts w:hint="eastAsia" w:ascii="仿宋_GB2312" w:hAnsi="仿宋_GB2312" w:cs="仿宋_GB2312"/>
          <w:szCs w:val="32"/>
          <w:lang w:val="en-US" w:eastAsia="zh-CN"/>
        </w:rPr>
        <w:t>（二）账务管理逐步规范，首期医用耗材三级库盘点增资212万元（见表1）。</w:t>
      </w:r>
    </w:p>
    <w:p>
      <w:pPr>
        <w:pStyle w:val="5"/>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rPr>
          <w:rFonts w:hint="eastAsia" w:ascii="仿宋_GB2312" w:hAnsi="仿宋_GB2312" w:cs="仿宋_GB2312"/>
          <w:szCs w:val="32"/>
          <w:lang w:val="en-US" w:eastAsia="zh-CN"/>
        </w:rPr>
      </w:pPr>
      <w:r>
        <w:rPr>
          <w:rFonts w:hint="eastAsia" w:ascii="黑体" w:hAnsi="黑体" w:eastAsia="黑体" w:cs="黑体"/>
          <w:b w:val="0"/>
          <w:bCs w:val="0"/>
          <w:color w:val="000000"/>
          <w:sz w:val="32"/>
          <w:szCs w:val="32"/>
          <w:lang w:val="en-US" w:eastAsia="zh-CN"/>
        </w:rPr>
        <w:t>表1  医用耗材三级库盘点情况表</w:t>
      </w:r>
    </w:p>
    <w:tbl>
      <w:tblPr>
        <w:tblStyle w:val="6"/>
        <w:tblW w:w="9570" w:type="dxa"/>
        <w:tblInd w:w="-34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20"/>
        <w:gridCol w:w="1662"/>
        <w:gridCol w:w="1662"/>
        <w:gridCol w:w="1663"/>
        <w:gridCol w:w="16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7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科室名称</w:t>
            </w:r>
          </w:p>
        </w:tc>
        <w:tc>
          <w:tcPr>
            <w:tcW w:w="1587" w:type="dxa"/>
            <w:tcBorders>
              <w:top w:val="single" w:color="000000" w:sz="8" w:space="0"/>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低值易耗品</w:t>
            </w:r>
          </w:p>
        </w:tc>
        <w:tc>
          <w:tcPr>
            <w:tcW w:w="1587" w:type="dxa"/>
            <w:tcBorders>
              <w:top w:val="single" w:color="000000" w:sz="8" w:space="0"/>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高值耗材</w:t>
            </w:r>
          </w:p>
        </w:tc>
        <w:tc>
          <w:tcPr>
            <w:tcW w:w="1587" w:type="dxa"/>
            <w:tcBorders>
              <w:top w:val="single" w:color="000000" w:sz="8" w:space="0"/>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一次性材料</w:t>
            </w:r>
          </w:p>
        </w:tc>
        <w:tc>
          <w:tcPr>
            <w:tcW w:w="1587" w:type="dxa"/>
            <w:tcBorders>
              <w:top w:val="single" w:color="000000" w:sz="8" w:space="0"/>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788" w:type="dxa"/>
            <w:tcBorders>
              <w:top w:val="nil"/>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呼吸与危重症医学科</w:t>
            </w:r>
          </w:p>
        </w:tc>
        <w:tc>
          <w:tcPr>
            <w:tcW w:w="1587"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1,584.36 </w:t>
            </w:r>
          </w:p>
        </w:tc>
        <w:tc>
          <w:tcPr>
            <w:tcW w:w="1587"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590" w:lineRule="exact"/>
              <w:jc w:val="right"/>
              <w:rPr>
                <w:rFonts w:hint="eastAsia" w:ascii="仿宋_GB2312" w:hAnsi="仿宋_GB2312" w:eastAsia="仿宋_GB2312" w:cs="仿宋_GB2312"/>
                <w:i w:val="0"/>
                <w:iCs w:val="0"/>
                <w:color w:val="000000"/>
                <w:sz w:val="24"/>
                <w:szCs w:val="24"/>
                <w:u w:val="none"/>
              </w:rPr>
            </w:pPr>
          </w:p>
        </w:tc>
        <w:tc>
          <w:tcPr>
            <w:tcW w:w="1587" w:type="dxa"/>
            <w:tcBorders>
              <w:top w:val="nil"/>
              <w:left w:val="nil"/>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52,063.40 </w:t>
            </w:r>
          </w:p>
        </w:tc>
        <w:tc>
          <w:tcPr>
            <w:tcW w:w="1587"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53,647.76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788" w:type="dxa"/>
            <w:tcBorders>
              <w:top w:val="nil"/>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消化内科</w:t>
            </w:r>
          </w:p>
        </w:tc>
        <w:tc>
          <w:tcPr>
            <w:tcW w:w="1587"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54.15 </w:t>
            </w:r>
          </w:p>
        </w:tc>
        <w:tc>
          <w:tcPr>
            <w:tcW w:w="1587"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3,900.00 </w:t>
            </w:r>
          </w:p>
        </w:tc>
        <w:tc>
          <w:tcPr>
            <w:tcW w:w="1587" w:type="dxa"/>
            <w:tcBorders>
              <w:top w:val="nil"/>
              <w:left w:val="nil"/>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32,319.89 </w:t>
            </w:r>
          </w:p>
        </w:tc>
        <w:tc>
          <w:tcPr>
            <w:tcW w:w="1587"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36,274.04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788" w:type="dxa"/>
            <w:tcBorders>
              <w:top w:val="nil"/>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神经内科</w:t>
            </w:r>
          </w:p>
        </w:tc>
        <w:tc>
          <w:tcPr>
            <w:tcW w:w="1587"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590" w:lineRule="exact"/>
              <w:jc w:val="right"/>
              <w:rPr>
                <w:rFonts w:hint="eastAsia" w:ascii="仿宋_GB2312" w:hAnsi="仿宋_GB2312" w:eastAsia="仿宋_GB2312" w:cs="仿宋_GB2312"/>
                <w:i w:val="0"/>
                <w:iCs w:val="0"/>
                <w:color w:val="000000"/>
                <w:sz w:val="24"/>
                <w:szCs w:val="24"/>
                <w:u w:val="none"/>
              </w:rPr>
            </w:pPr>
          </w:p>
        </w:tc>
        <w:tc>
          <w:tcPr>
            <w:tcW w:w="1587"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590" w:lineRule="exact"/>
              <w:jc w:val="right"/>
              <w:rPr>
                <w:rFonts w:hint="eastAsia" w:ascii="仿宋_GB2312" w:hAnsi="仿宋_GB2312" w:eastAsia="仿宋_GB2312" w:cs="仿宋_GB2312"/>
                <w:i w:val="0"/>
                <w:iCs w:val="0"/>
                <w:color w:val="000000"/>
                <w:sz w:val="24"/>
                <w:szCs w:val="24"/>
                <w:u w:val="none"/>
              </w:rPr>
            </w:pPr>
          </w:p>
        </w:tc>
        <w:tc>
          <w:tcPr>
            <w:tcW w:w="1587" w:type="dxa"/>
            <w:tcBorders>
              <w:top w:val="nil"/>
              <w:left w:val="nil"/>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20,521.13 </w:t>
            </w:r>
          </w:p>
        </w:tc>
        <w:tc>
          <w:tcPr>
            <w:tcW w:w="1587"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20,521.13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788" w:type="dxa"/>
            <w:tcBorders>
              <w:top w:val="nil"/>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心血管内科</w:t>
            </w:r>
          </w:p>
        </w:tc>
        <w:tc>
          <w:tcPr>
            <w:tcW w:w="1587"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930.60 </w:t>
            </w:r>
          </w:p>
        </w:tc>
        <w:tc>
          <w:tcPr>
            <w:tcW w:w="1587"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227,255.80 </w:t>
            </w:r>
          </w:p>
        </w:tc>
        <w:tc>
          <w:tcPr>
            <w:tcW w:w="1587" w:type="dxa"/>
            <w:tcBorders>
              <w:top w:val="nil"/>
              <w:left w:val="nil"/>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41,458.41 </w:t>
            </w:r>
          </w:p>
        </w:tc>
        <w:tc>
          <w:tcPr>
            <w:tcW w:w="1587"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269,644.81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788" w:type="dxa"/>
            <w:tcBorders>
              <w:top w:val="nil"/>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内分泌科</w:t>
            </w:r>
          </w:p>
        </w:tc>
        <w:tc>
          <w:tcPr>
            <w:tcW w:w="1587"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3,355.00 </w:t>
            </w:r>
          </w:p>
        </w:tc>
        <w:tc>
          <w:tcPr>
            <w:tcW w:w="1587"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590" w:lineRule="exact"/>
              <w:jc w:val="right"/>
              <w:rPr>
                <w:rFonts w:hint="eastAsia" w:ascii="仿宋_GB2312" w:hAnsi="仿宋_GB2312" w:eastAsia="仿宋_GB2312" w:cs="仿宋_GB2312"/>
                <w:i w:val="0"/>
                <w:iCs w:val="0"/>
                <w:color w:val="000000"/>
                <w:sz w:val="24"/>
                <w:szCs w:val="24"/>
                <w:u w:val="none"/>
              </w:rPr>
            </w:pPr>
          </w:p>
        </w:tc>
        <w:tc>
          <w:tcPr>
            <w:tcW w:w="1587" w:type="dxa"/>
            <w:tcBorders>
              <w:top w:val="nil"/>
              <w:left w:val="nil"/>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15,311.17 </w:t>
            </w:r>
          </w:p>
        </w:tc>
        <w:tc>
          <w:tcPr>
            <w:tcW w:w="1587"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18,666.17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788" w:type="dxa"/>
            <w:tcBorders>
              <w:top w:val="nil"/>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重症医学科</w:t>
            </w:r>
          </w:p>
        </w:tc>
        <w:tc>
          <w:tcPr>
            <w:tcW w:w="1587"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5,579.00 </w:t>
            </w:r>
          </w:p>
        </w:tc>
        <w:tc>
          <w:tcPr>
            <w:tcW w:w="1587"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233,126.98 </w:t>
            </w:r>
          </w:p>
        </w:tc>
        <w:tc>
          <w:tcPr>
            <w:tcW w:w="1587" w:type="dxa"/>
            <w:tcBorders>
              <w:top w:val="nil"/>
              <w:left w:val="nil"/>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256,215.48 </w:t>
            </w:r>
          </w:p>
        </w:tc>
        <w:tc>
          <w:tcPr>
            <w:tcW w:w="1587"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494,921.46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788" w:type="dxa"/>
            <w:tcBorders>
              <w:top w:val="nil"/>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综合外科病区</w:t>
            </w:r>
          </w:p>
        </w:tc>
        <w:tc>
          <w:tcPr>
            <w:tcW w:w="1587"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590" w:lineRule="exact"/>
              <w:jc w:val="right"/>
              <w:rPr>
                <w:rFonts w:hint="eastAsia" w:ascii="仿宋_GB2312" w:hAnsi="仿宋_GB2312" w:eastAsia="仿宋_GB2312" w:cs="仿宋_GB2312"/>
                <w:i w:val="0"/>
                <w:iCs w:val="0"/>
                <w:color w:val="000000"/>
                <w:sz w:val="24"/>
                <w:szCs w:val="24"/>
                <w:u w:val="none"/>
              </w:rPr>
            </w:pPr>
          </w:p>
        </w:tc>
        <w:tc>
          <w:tcPr>
            <w:tcW w:w="1587"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590" w:lineRule="exact"/>
              <w:jc w:val="right"/>
              <w:rPr>
                <w:rFonts w:hint="eastAsia" w:ascii="仿宋_GB2312" w:hAnsi="仿宋_GB2312" w:eastAsia="仿宋_GB2312" w:cs="仿宋_GB2312"/>
                <w:i w:val="0"/>
                <w:iCs w:val="0"/>
                <w:color w:val="000000"/>
                <w:sz w:val="24"/>
                <w:szCs w:val="24"/>
                <w:u w:val="none"/>
              </w:rPr>
            </w:pPr>
          </w:p>
        </w:tc>
        <w:tc>
          <w:tcPr>
            <w:tcW w:w="1587" w:type="dxa"/>
            <w:tcBorders>
              <w:top w:val="nil"/>
              <w:left w:val="nil"/>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32,755.45 </w:t>
            </w:r>
          </w:p>
        </w:tc>
        <w:tc>
          <w:tcPr>
            <w:tcW w:w="1587"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32,755.45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788" w:type="dxa"/>
            <w:tcBorders>
              <w:top w:val="nil"/>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骨科、神经二病区</w:t>
            </w:r>
          </w:p>
        </w:tc>
        <w:tc>
          <w:tcPr>
            <w:tcW w:w="1587"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384.00 </w:t>
            </w:r>
          </w:p>
        </w:tc>
        <w:tc>
          <w:tcPr>
            <w:tcW w:w="1587"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3,344.00 </w:t>
            </w:r>
          </w:p>
        </w:tc>
        <w:tc>
          <w:tcPr>
            <w:tcW w:w="1587" w:type="dxa"/>
            <w:tcBorders>
              <w:top w:val="nil"/>
              <w:left w:val="nil"/>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10,763.10 </w:t>
            </w:r>
          </w:p>
        </w:tc>
        <w:tc>
          <w:tcPr>
            <w:tcW w:w="1587"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14,491.10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788" w:type="dxa"/>
            <w:tcBorders>
              <w:top w:val="nil"/>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手术室</w:t>
            </w:r>
          </w:p>
        </w:tc>
        <w:tc>
          <w:tcPr>
            <w:tcW w:w="1587"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1,924.50 </w:t>
            </w:r>
          </w:p>
        </w:tc>
        <w:tc>
          <w:tcPr>
            <w:tcW w:w="1587"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894,900.31 </w:t>
            </w:r>
          </w:p>
        </w:tc>
        <w:tc>
          <w:tcPr>
            <w:tcW w:w="1587" w:type="dxa"/>
            <w:tcBorders>
              <w:top w:val="nil"/>
              <w:left w:val="nil"/>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278,554.36 </w:t>
            </w:r>
          </w:p>
        </w:tc>
        <w:tc>
          <w:tcPr>
            <w:tcW w:w="1587"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1,175,379.17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788"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合计</w:t>
            </w:r>
          </w:p>
        </w:tc>
        <w:tc>
          <w:tcPr>
            <w:tcW w:w="1587"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13,811.61 </w:t>
            </w:r>
          </w:p>
        </w:tc>
        <w:tc>
          <w:tcPr>
            <w:tcW w:w="1587"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1,362,527.09 </w:t>
            </w:r>
          </w:p>
        </w:tc>
        <w:tc>
          <w:tcPr>
            <w:tcW w:w="1587"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739,962.39 </w:t>
            </w:r>
          </w:p>
        </w:tc>
        <w:tc>
          <w:tcPr>
            <w:tcW w:w="1587"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2,116,301.09 </w:t>
            </w:r>
          </w:p>
        </w:tc>
      </w:tr>
    </w:tbl>
    <w:p>
      <w:pPr>
        <w:pStyle w:val="5"/>
        <w:keepNext w:val="0"/>
        <w:keepLines w:val="0"/>
        <w:pageBreakBefore w:val="0"/>
        <w:widowControl w:val="0"/>
        <w:kinsoku/>
        <w:wordWrap/>
        <w:overflowPunct/>
        <w:topLinePunct w:val="0"/>
        <w:autoSpaceDE/>
        <w:autoSpaceDN/>
        <w:bidi w:val="0"/>
        <w:adjustRightInd/>
        <w:snapToGrid w:val="0"/>
        <w:spacing w:after="0" w:line="570" w:lineRule="exact"/>
        <w:rPr>
          <w:rFonts w:hint="eastAsia" w:ascii="仿宋_GB2312" w:hAnsi="仿宋_GB2312" w:cs="仿宋_GB2312"/>
          <w:szCs w:val="32"/>
          <w:lang w:val="en-US" w:eastAsia="zh-CN"/>
        </w:rPr>
      </w:pPr>
      <w:r>
        <w:rPr>
          <w:rFonts w:hint="eastAsia" w:ascii="仿宋_GB2312" w:hAnsi="仿宋_GB2312" w:cs="仿宋_GB2312"/>
          <w:szCs w:val="32"/>
          <w:lang w:val="en-US" w:eastAsia="zh-CN"/>
        </w:rPr>
        <w:t>（三）医用耗材实现配比核销，落实“实耗实销、厉行节约、成本管控”的原则，增强了医用耗材流通数据的真实性、准确性和透明性，提高会计信息质量。</w:t>
      </w:r>
    </w:p>
    <w:p>
      <w:pPr>
        <w:pStyle w:val="5"/>
        <w:keepNext w:val="0"/>
        <w:keepLines w:val="0"/>
        <w:pageBreakBefore w:val="0"/>
        <w:widowControl w:val="0"/>
        <w:kinsoku/>
        <w:wordWrap/>
        <w:overflowPunct/>
        <w:topLinePunct w:val="0"/>
        <w:autoSpaceDE/>
        <w:autoSpaceDN/>
        <w:bidi w:val="0"/>
        <w:adjustRightInd/>
        <w:snapToGrid w:val="0"/>
        <w:spacing w:after="0" w:line="570" w:lineRule="exact"/>
      </w:pPr>
      <w:r>
        <w:rPr>
          <w:rFonts w:hint="eastAsia" w:ascii="仿宋_GB2312" w:hAnsi="仿宋_GB2312" w:cs="仿宋_GB2312"/>
          <w:szCs w:val="32"/>
          <w:lang w:val="en-US" w:eastAsia="zh-CN"/>
        </w:rPr>
        <w:t>（四）进一步规范医用耗材收费管理，结合10月份国家医保业务编码贯标工作，统一医疗耗材收费编码，医用耗材方面的收费错误大幅度下降。</w:t>
      </w: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814" w:right="1474" w:bottom="1701" w:left="1587" w:header="283" w:footer="1417" w:gutter="0"/>
      <w:pgNumType w:fmt="decimal" w:start="60"/>
      <w:cols w:space="72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YjAxYzQwMTJiMDU5OWFkNjE2NmRmMzU5M2ZiNzgifQ=="/>
  </w:docVars>
  <w:rsids>
    <w:rsidRoot w:val="00000000"/>
    <w:rsid w:val="5A116A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footer"/>
    <w:basedOn w:val="1"/>
    <w:qFormat/>
    <w:uiPriority w:val="99"/>
    <w:pPr>
      <w:tabs>
        <w:tab w:val="center" w:pos="4153"/>
        <w:tab w:val="right" w:pos="8306"/>
      </w:tabs>
      <w:snapToGrid w:val="0"/>
      <w:jc w:val="left"/>
    </w:pPr>
    <w:rPr>
      <w:rFonts w:eastAsia="宋体"/>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5">
    <w:name w:val="Body Text First Indent 2"/>
    <w:qFormat/>
    <w:uiPriority w:val="0"/>
    <w:pPr>
      <w:widowControl w:val="0"/>
      <w:spacing w:after="120"/>
      <w:ind w:firstLine="420" w:firstLineChars="200"/>
      <w:jc w:val="both"/>
    </w:pPr>
    <w:rPr>
      <w:rFonts w:ascii="Calibri" w:hAnsi="Calibri" w:eastAsia="仿宋_GB2312" w:cs="Times New Roman"/>
      <w:kern w:val="2"/>
      <w:sz w:val="32"/>
      <w:szCs w:val="22"/>
      <w:lang w:val="en-US" w:eastAsia="zh-CN" w:bidi="ar-SA"/>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2022-06-02T00:59:50Z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D824621E1FE148A6880FC5B10856D580</vt:lpwstr>
  </property>
</Properties>
</file>