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信用就医”助力医院财务智慧服务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厦门大学附属中山医院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一、背景介绍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30" w:afterLines="20" w:line="59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2018年，国务院办公厅颁布《关于促进“互联网+医疗健康”发展的意见》（国办发〔2018〕26号），强调加快发展“互联网+医疗”，缓解看病就医难题，提升人民健康水平。但公立医院在日常服务过程中仍然存在着挂号候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化验检查、收费取药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时间长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医生诊疗时间短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还存在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就诊需要事前充值、就诊流程不明确、看病费时费力等问题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严重影响医疗质量和患者的满意度。如何解决“三长一短”问题是摆在医院管理者面前的一个现实问题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，厦门大学附属中山医院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利用“互联网+信用”技术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提升医院财务智慧服务水平，提高患者的获得感和满意度。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30" w:afterLines="20" w:line="59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二、亮点做法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30" w:afterLines="20" w:line="590" w:lineRule="exact"/>
        <w:ind w:firstLine="576" w:firstLineChars="18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借助“互联网+”技术，在福建省首推“信用就医”支付改革服务模式，实现免预交金的“先诊疗、后付费”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融合多渠道信用体系，为不同患者提供全方位个性化可选择的优质医疗服务模式，提高就诊效率。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30" w:afterLines="20" w:line="590" w:lineRule="exact"/>
        <w:ind w:firstLine="576" w:firstLineChars="180"/>
        <w:jc w:val="both"/>
        <w:textAlignment w:val="auto"/>
        <w:rPr>
          <w:rFonts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（一）建立分级授信额度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“一体两翼”服务体系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afterLines="20" w:line="590" w:lineRule="exact"/>
        <w:ind w:firstLine="576" w:firstLineChars="18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与城市信用分、支付宝芝麻信用分、银行信用分衔接，根据个人信用度的高低建立多档分级授信额度体系。所有患者均可享受该服务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实现诊间“零付费”的医疗服务新模式。结合城市个人信用分等渠道，构建了医院“信用就医”整体架构（见下图），设计“一体两翼”信用就医服务体系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即一个信用就医云平台主体，一个“信用就医”服务模式，一个激励与约束机制。患者就诊完成后在规定时间（如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天内）结算缴费，针对特殊困难患者，试行民政救助、保险理赔或财政兜底等办法进行补偿。每次信用就医按时还款，将提供更多的便利，享有更高的信用额度，享受更好的便民服务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若累计逾期3次以上，限制其使用“信用就医”服务，同时也影响其信用积分，列入城市信用体系“黑名单”。同时与卫健委搭建的统一信用数据库实现联通，实现不同业务系统与信用就医平台的有效交互与信息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afterLines="20" w:line="590" w:lineRule="exact"/>
        <w:ind w:firstLine="558" w:firstLineChars="180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5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154305</wp:posOffset>
            </wp:positionV>
            <wp:extent cx="5286375" cy="2918460"/>
            <wp:effectExtent l="0" t="0" r="9525" b="1524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强化信息化技术支撑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应用入口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：多渠道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接入信用主体公众号、医院公众号等各类公众号、医疗自助机等线上、线下患者服务渠道。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信用服务：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信用支付、信用日账、信用还款、信用协议、还款提醒、信用退款等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，保障信用就医全流程快捷便利、安全可靠。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信用管理：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白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黑名单、账单管理、逾期管理、额度配置等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实现用户信用额度评估及管理，降低信用资金管控风险。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清算管理：额度及交易明细的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实时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清算，实现用户、医院、平台运营方三方的交易无偏差。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信用体系：以城市信用分为准，实现按需用户授权，额度按级分类，费控预设管理。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实施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信用就医，免去缴费环节</w:t>
      </w:r>
    </w:p>
    <w:p>
      <w:pPr>
        <w:pStyle w:val="2"/>
        <w:numPr>
          <w:ilvl w:val="0"/>
          <w:numId w:val="0"/>
        </w:numPr>
        <w:ind w:firstLine="720" w:firstLineChars="4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2097405</wp:posOffset>
            </wp:positionV>
            <wp:extent cx="5276850" cy="2286000"/>
            <wp:effectExtent l="0" t="0" r="0" b="0"/>
            <wp:wrapSquare wrapText="bothSides"/>
            <wp:docPr id="2" name="未知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11109888" cy="5676631"/>
                      <a:chOff x="493204" y="985534"/>
                      <a:chExt cx="11109888" cy="5676631"/>
                    </a:xfrm>
                  </a:grpSpPr>
                  <a:grpSp>
                    <a:nvGrpSpPr>
                      <a:cNvPr id="74" name="组合 73"/>
                      <a:cNvGrpSpPr/>
                    </a:nvGrpSpPr>
                    <a:grpSpPr>
                      <a:xfrm>
                        <a:off x="493204" y="2272925"/>
                        <a:ext cx="2152182" cy="4389240"/>
                        <a:chOff x="706059" y="1224161"/>
                        <a:chExt cx="2152182" cy="4389240"/>
                      </a:xfrm>
                    </a:grpSpPr>
                    <a:pic>
                      <a:nvPicPr>
                        <a:cNvPr id="75" name="图片 74"/>
                        <a:cNvPicPr>
                          <a:picLocks noChangeAspect="1"/>
                        </a:cNvPicPr>
                      </a:nvPicPr>
                      <a:blipFill>
                        <a:blip r:embed="rId6" cstate="print"/>
                        <a:stretch>
                          <a:fillRect/>
                        </a:stretch>
                      </a:blipFill>
                      <a:spPr>
                        <a:xfrm>
                          <a:off x="706059" y="1224161"/>
                          <a:ext cx="2152182" cy="438924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76" name="图片 75"/>
                        <a:cNvPicPr>
                          <a:picLocks noChangeAspect="1"/>
                        </a:cNvPicPr>
                      </a:nvPicPr>
                      <a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spPr>
                        <a:xfrm>
                          <a:off x="849203" y="1751809"/>
                          <a:ext cx="1865893" cy="3318802"/>
                        </a:xfrm>
                        <a:prstGeom prst="rect">
                          <a:avLst/>
                        </a:prstGeom>
                      </a:spPr>
                    </a:pic>
                  </a:grpSp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2732631" y="2272925"/>
                        <a:ext cx="2152182" cy="4389240"/>
                        <a:chOff x="8805752" y="1889993"/>
                        <a:chExt cx="2152182" cy="4389240"/>
                      </a:xfrm>
                    </a:grpSpPr>
                    <a:pic>
                      <a:nvPicPr>
                        <a:cNvPr id="72" name="图片 71"/>
                        <a:cNvPicPr>
                          <a:picLocks noChangeAspect="1"/>
                        </a:cNvPicPr>
                      </a:nvPicPr>
                      <a:blipFill>
                        <a:blip r:embed="rId6" cstate="print"/>
                        <a:stretch>
                          <a:fillRect/>
                        </a:stretch>
                      </a:blipFill>
                      <a:spPr>
                        <a:xfrm>
                          <a:off x="8805752" y="1889993"/>
                          <a:ext cx="2152182" cy="438924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3" name="图片 2"/>
                        <a:cNvPicPr>
                          <a:picLocks noChangeAspect="1"/>
                        </a:cNvPicPr>
                      </a:nvPicPr>
                      <a:blipFill>
                        <a:blip r:embed="rId8" cstate="print"/>
                        <a:stretch>
                          <a:fillRect/>
                        </a:stretch>
                      </a:blipFill>
                      <a:spPr>
                        <a:xfrm>
                          <a:off x="8950434" y="2388126"/>
                          <a:ext cx="1885205" cy="3353151"/>
                        </a:xfrm>
                        <a:prstGeom prst="rect">
                          <a:avLst/>
                        </a:prstGeom>
                      </a:spPr>
                    </a:pic>
                  </a:grpSp>
                  <a:sp>
                    <a:nvSpPr>
                      <a:cNvPr id="38" name="矩形 37"/>
                      <a:cNvSpPr/>
                    </a:nvSpPr>
                    <a:spPr>
                      <a:xfrm flipV="1">
                        <a:off x="1293596" y="1263075"/>
                        <a:ext cx="9236517" cy="50514"/>
                      </a:xfrm>
                      <a:prstGeom prst="rect">
                        <a:avLst/>
                      </a:prstGeom>
                      <a:solidFill>
                        <a:srgbClr val="CDD2D8"/>
                      </a:solidFill>
                      <a:ln w="0"/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/>
                      </a:txBody>
                      <a:useSpRect/>
                    </a:txSp>
                  </a:sp>
                  <a:sp>
                    <a:nvSpPr>
                      <a:cNvPr id="39" name="椭圆 38"/>
                      <a:cNvSpPr/>
                    </a:nvSpPr>
                    <a:spPr>
                      <a:xfrm>
                        <a:off x="1293597" y="985534"/>
                        <a:ext cx="551397" cy="551397"/>
                      </a:xfrm>
                      <a:prstGeom prst="ellipse">
                        <a:avLst/>
                      </a:prstGeom>
                      <a:solidFill>
                        <a:srgbClr val="2A64E8"/>
                      </a:solidFill>
                      <a:ln w="0"/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algn="ctr"/>
                          <a:r>
                            <a:rPr lang="zh-CN" sz="2000" b="1">
                              <a:solidFill>
                                <a:srgbClr val="FFFFFF"/>
                              </a:solidFill>
                              <a:ea typeface="微软雅黑" panose="020B0503020204020204" charset="-122"/>
                            </a:rPr>
                            <a:t>1</a:t>
                          </a:r>
                          <a:endParaRPr lang="zh-CN" sz="2000" b="1">
                            <a:solidFill>
                              <a:srgbClr val="FFFFFF"/>
                            </a:solidFill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椭圆 39"/>
                      <a:cNvSpPr/>
                    </a:nvSpPr>
                    <a:spPr>
                      <a:xfrm>
                        <a:off x="3533023" y="1003108"/>
                        <a:ext cx="551397" cy="551397"/>
                      </a:xfrm>
                      <a:prstGeom prst="ellipse">
                        <a:avLst/>
                      </a:prstGeom>
                      <a:solidFill>
                        <a:srgbClr val="2A64E8"/>
                      </a:solidFill>
                      <a:ln w="0"/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marL="0" indent="0" algn="ctr" defTabSz="457200">
                            <a:lnSpc>
                              <a:spcPct val="100000"/>
                            </a:lnSpc>
                            <a:buNone/>
                          </a:pPr>
                          <a:r>
                            <a:rPr lang="zh-CN" sz="2000" b="1" i="0" strike="noStrike" spc="0" dirty="0">
                              <a:solidFill>
                                <a:srgbClr val="FFFFFF"/>
                              </a:solidFill>
                              <a:latin typeface="等线" panose="02010600030101010101" charset="-122"/>
                              <a:ea typeface="微软雅黑" panose="020B0503020204020204" charset="-122"/>
                            </a:rPr>
                            <a:t>2</a:t>
                          </a:r>
                          <a:endParaRPr lang="zh-CN" sz="2000" b="1" i="0" strike="noStrike" spc="0" dirty="0">
                            <a:solidFill>
                              <a:srgbClr val="FFFFFF"/>
                            </a:solidFill>
                            <a:latin typeface="等线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椭圆 40"/>
                      <a:cNvSpPr/>
                    </a:nvSpPr>
                    <a:spPr>
                      <a:xfrm>
                        <a:off x="5772449" y="1003108"/>
                        <a:ext cx="551397" cy="551397"/>
                      </a:xfrm>
                      <a:prstGeom prst="ellipse">
                        <a:avLst/>
                      </a:prstGeom>
                      <a:solidFill>
                        <a:srgbClr val="2A64E8"/>
                      </a:solidFill>
                      <a:ln w="0"/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marL="0" indent="0" algn="ctr" defTabSz="228600">
                            <a:lnSpc>
                              <a:spcPct val="100000"/>
                            </a:lnSpc>
                            <a:buNone/>
                          </a:pPr>
                          <a:r>
                            <a:rPr lang="zh-CN" sz="2000" b="1" i="0" strike="noStrike" spc="0" dirty="0">
                              <a:solidFill>
                                <a:srgbClr val="FFFFFF"/>
                              </a:solidFill>
                              <a:latin typeface="等线" panose="02010600030101010101" charset="-122"/>
                              <a:ea typeface="微软雅黑" panose="020B0503020204020204" charset="-122"/>
                            </a:rPr>
                            <a:t>3</a:t>
                          </a:r>
                          <a:endParaRPr lang="zh-CN" sz="2000" b="1" i="0" strike="noStrike" spc="0" dirty="0">
                            <a:solidFill>
                              <a:srgbClr val="FFFFFF"/>
                            </a:solidFill>
                            <a:latin typeface="等线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文本框 41"/>
                      <a:cNvSpPr txBox="1"/>
                    </a:nvSpPr>
                    <a:spPr>
                      <a:xfrm>
                        <a:off x="912915" y="1718778"/>
                        <a:ext cx="1312758" cy="364662"/>
                      </a:xfrm>
                      <a:prstGeom prst="rect">
                        <a:avLst/>
                      </a:prstGeom>
                      <a:ln w="12700">
                        <a:prstDash val="solid"/>
                      </a:ln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2000" b="1" dirty="0" smtClean="0">
                              <a:solidFill>
                                <a:srgbClr val="222222"/>
                              </a:solidFill>
                              <a:latin typeface="等线 Light" panose="02010600030101010101" charset="-122"/>
                              <a:ea typeface="微软雅黑" panose="020B0503020204020204" charset="-122"/>
                            </a:rPr>
                            <a:t>申请开通</a:t>
                          </a:r>
                          <a:endParaRPr lang="zh-CN" altLang="zh-CN" sz="2000" b="1" dirty="0">
                            <a:solidFill>
                              <a:srgbClr val="222222"/>
                            </a:solidFill>
                            <a:latin typeface="等线 Light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3" name="文本框 42"/>
                      <a:cNvSpPr txBox="1"/>
                    </a:nvSpPr>
                    <a:spPr>
                      <a:xfrm>
                        <a:off x="2953680" y="1718778"/>
                        <a:ext cx="1732469" cy="364662"/>
                      </a:xfrm>
                      <a:prstGeom prst="rect">
                        <a:avLst/>
                      </a:prstGeom>
                      <a:ln w="12700">
                        <a:prstDash val="solid"/>
                      </a:ln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2000" b="1" dirty="0" smtClean="0">
                              <a:solidFill>
                                <a:srgbClr val="222222"/>
                              </a:solidFill>
                              <a:latin typeface="等线 Light" panose="02010600030101010101" charset="-122"/>
                              <a:ea typeface="微软雅黑" panose="020B0503020204020204" charset="-122"/>
                            </a:rPr>
                            <a:t>选择信用渠道</a:t>
                          </a:r>
                          <a:endParaRPr lang="zh-CN" altLang="zh-CN" sz="2000" b="1" dirty="0">
                            <a:solidFill>
                              <a:srgbClr val="222222"/>
                            </a:solidFill>
                            <a:latin typeface="等线 Light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4" name="文本框 43"/>
                      <a:cNvSpPr txBox="1"/>
                    </a:nvSpPr>
                    <a:spPr>
                      <a:xfrm>
                        <a:off x="5310544" y="1718778"/>
                        <a:ext cx="1475206" cy="364662"/>
                      </a:xfrm>
                      <a:prstGeom prst="rect">
                        <a:avLst/>
                      </a:prstGeom>
                      <a:ln w="12700">
                        <a:prstDash val="solid"/>
                      </a:ln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2000" b="1" dirty="0" smtClean="0">
                              <a:solidFill>
                                <a:srgbClr val="222222"/>
                              </a:solidFill>
                              <a:latin typeface="等线 Light" panose="02010600030101010101" charset="-122"/>
                              <a:ea typeface="微软雅黑" panose="020B0503020204020204" charset="-122"/>
                            </a:rPr>
                            <a:t>签署协议</a:t>
                          </a:r>
                          <a:endParaRPr lang="zh-CN" altLang="zh-CN" sz="2000" b="1" dirty="0">
                            <a:solidFill>
                              <a:srgbClr val="222222"/>
                            </a:solidFill>
                            <a:latin typeface="等线 Light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48" name="组合 47"/>
                      <a:cNvGrpSpPr/>
                    </a:nvGrpSpPr>
                    <a:grpSpPr>
                      <a:xfrm>
                        <a:off x="4972057" y="2272925"/>
                        <a:ext cx="2152182" cy="4389240"/>
                        <a:chOff x="2596599" y="1744372"/>
                        <a:chExt cx="2152182" cy="4389240"/>
                      </a:xfrm>
                    </a:grpSpPr>
                    <a:pic>
                      <a:nvPicPr>
                        <a:cNvPr id="49" name="图片 48"/>
                        <a:cNvPicPr>
                          <a:picLocks noChangeAspect="1"/>
                        </a:cNvPicPr>
                      </a:nvPicPr>
                      <a:blipFill>
                        <a:blip r:embed="rId6" cstate="print"/>
                        <a:stretch>
                          <a:fillRect/>
                        </a:stretch>
                      </a:blipFill>
                      <a:spPr>
                        <a:xfrm>
                          <a:off x="2596599" y="1744372"/>
                          <a:ext cx="2152182" cy="438924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50" name="图片 49"/>
                        <a:cNvPicPr>
                          <a:picLocks noChangeAspect="1"/>
                        </a:cNvPicPr>
                      </a:nvPicPr>
                      <a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352"/>
                        <a:stretch>
                          <a:fillRect/>
                        </a:stretch>
                      </a:blipFill>
                      <a:spPr>
                        <a:xfrm>
                          <a:off x="2746840" y="2111461"/>
                          <a:ext cx="1851700" cy="3565440"/>
                        </a:xfrm>
                        <a:prstGeom prst="rect">
                          <a:avLst/>
                        </a:prstGeom>
                      </a:spPr>
                    </a:pic>
                  </a:grpSp>
                  <a:grpSp>
                    <a:nvGrpSpPr>
                      <a:cNvPr id="51" name="组合 50"/>
                      <a:cNvGrpSpPr/>
                    </a:nvGrpSpPr>
                    <a:grpSpPr>
                      <a:xfrm>
                        <a:off x="7211483" y="2272925"/>
                        <a:ext cx="2152182" cy="4389240"/>
                        <a:chOff x="5043734" y="1744372"/>
                        <a:chExt cx="2152182" cy="4389240"/>
                      </a:xfrm>
                    </a:grpSpPr>
                    <a:pic>
                      <a:nvPicPr>
                        <a:cNvPr id="52" name="图片 51"/>
                        <a:cNvPicPr>
                          <a:picLocks noChangeAspect="1"/>
                        </a:cNvPicPr>
                      </a:nvPicPr>
                      <a:blipFill>
                        <a:blip r:embed="rId6" cstate="print"/>
                        <a:stretch>
                          <a:fillRect/>
                        </a:stretch>
                      </a:blipFill>
                      <a:spPr>
                        <a:xfrm>
                          <a:off x="5043734" y="1744372"/>
                          <a:ext cx="2152182" cy="438924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53" name="图片 52"/>
                        <a:cNvPicPr>
                          <a:picLocks noChangeAspect="1"/>
                        </a:cNvPicPr>
                      </a:nvPicPr>
                      <a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059"/>
                        <a:stretch>
                          <a:fillRect/>
                        </a:stretch>
                      </a:blipFill>
                      <a:spPr>
                        <a:xfrm>
                          <a:off x="5201328" y="2111460"/>
                          <a:ext cx="1836994" cy="3508290"/>
                        </a:xfrm>
                        <a:prstGeom prst="rect">
                          <a:avLst/>
                        </a:prstGeom>
                      </a:spPr>
                    </a:pic>
                  </a:grpSp>
                  <a:grpSp>
                    <a:nvGrpSpPr>
                      <a:cNvPr id="54" name="组合 53"/>
                      <a:cNvGrpSpPr/>
                    </a:nvGrpSpPr>
                    <a:grpSpPr>
                      <a:xfrm>
                        <a:off x="9450910" y="2272925"/>
                        <a:ext cx="2152182" cy="4389240"/>
                        <a:chOff x="7490869" y="1744372"/>
                        <a:chExt cx="2152182" cy="4389240"/>
                      </a:xfrm>
                    </a:grpSpPr>
                    <a:pic>
                      <a:nvPicPr>
                        <a:cNvPr id="55" name="图片 54"/>
                        <a:cNvPicPr>
                          <a:picLocks noChangeAspect="1"/>
                        </a:cNvPicPr>
                      </a:nvPicPr>
                      <a:blipFill>
                        <a:blip r:embed="rId6" cstate="print"/>
                        <a:stretch>
                          <a:fillRect/>
                        </a:stretch>
                      </a:blipFill>
                      <a:spPr>
                        <a:xfrm>
                          <a:off x="7490869" y="1744372"/>
                          <a:ext cx="2152182" cy="438924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57" name="图片 56"/>
                        <a:cNvPicPr>
                          <a:picLocks noChangeAspect="1"/>
                        </a:cNvPicPr>
                      </a:nvPicPr>
                      <a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392"/>
                        <a:stretch>
                          <a:fillRect/>
                        </a:stretch>
                      </a:blipFill>
                      <a:spPr>
                        <a:xfrm>
                          <a:off x="7625074" y="2072707"/>
                          <a:ext cx="1871351" cy="3518469"/>
                        </a:xfrm>
                        <a:prstGeom prst="rect">
                          <a:avLst/>
                        </a:prstGeom>
                      </a:spPr>
                    </a:pic>
                  </a:grpSp>
                  <a:sp>
                    <a:nvSpPr>
                      <a:cNvPr id="58" name="椭圆 57"/>
                      <a:cNvSpPr/>
                    </a:nvSpPr>
                    <a:spPr>
                      <a:xfrm>
                        <a:off x="8011875" y="1003108"/>
                        <a:ext cx="551397" cy="551397"/>
                      </a:xfrm>
                      <a:prstGeom prst="ellipse">
                        <a:avLst/>
                      </a:prstGeom>
                      <a:solidFill>
                        <a:srgbClr val="2A64E8"/>
                      </a:solidFill>
                      <a:ln w="0"/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marL="0" indent="0" algn="ctr" defTabSz="228600">
                            <a:lnSpc>
                              <a:spcPct val="100000"/>
                            </a:lnSpc>
                            <a:buNone/>
                          </a:pPr>
                          <a:r>
                            <a:rPr lang="en-US" altLang="zh-CN" sz="2000" b="1" dirty="0">
                              <a:solidFill>
                                <a:srgbClr val="FFFFFF"/>
                              </a:solidFill>
                              <a:ea typeface="微软雅黑" panose="020B0503020204020204" charset="-122"/>
                            </a:rPr>
                            <a:t>4</a:t>
                          </a:r>
                          <a:endParaRPr lang="zh-CN" sz="2000" b="1" i="0" strike="noStrike" spc="0" dirty="0">
                            <a:solidFill>
                              <a:srgbClr val="FFFFFF"/>
                            </a:solidFill>
                            <a:latin typeface="等线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9" name="文本框 58"/>
                      <a:cNvSpPr txBox="1"/>
                    </a:nvSpPr>
                    <a:spPr>
                      <a:xfrm>
                        <a:off x="7549970" y="1718778"/>
                        <a:ext cx="1475206" cy="364662"/>
                      </a:xfrm>
                      <a:prstGeom prst="rect">
                        <a:avLst/>
                      </a:prstGeom>
                      <a:ln w="12700">
                        <a:prstDash val="solid"/>
                      </a:ln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2000" b="1" dirty="0">
                              <a:solidFill>
                                <a:srgbClr val="222222"/>
                              </a:solidFill>
                              <a:latin typeface="等线 Light" panose="02010600030101010101" charset="-122"/>
                              <a:ea typeface="微软雅黑" panose="020B0503020204020204" charset="-122"/>
                            </a:rPr>
                            <a:t>支付</a:t>
                          </a:r>
                          <a:r>
                            <a:rPr lang="zh-CN" altLang="en-US" sz="2000" b="1" dirty="0" smtClean="0">
                              <a:solidFill>
                                <a:srgbClr val="222222"/>
                              </a:solidFill>
                              <a:latin typeface="等线 Light" panose="02010600030101010101" charset="-122"/>
                              <a:ea typeface="微软雅黑" panose="020B0503020204020204" charset="-122"/>
                            </a:rPr>
                            <a:t>认证</a:t>
                          </a:r>
                          <a:endParaRPr lang="zh-CN" altLang="zh-CN" sz="2000" b="1" dirty="0">
                            <a:solidFill>
                              <a:srgbClr val="222222"/>
                            </a:solidFill>
                            <a:latin typeface="等线 Light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0" name="椭圆 59"/>
                      <a:cNvSpPr/>
                    </a:nvSpPr>
                    <a:spPr>
                      <a:xfrm>
                        <a:off x="10245091" y="1001144"/>
                        <a:ext cx="551397" cy="551397"/>
                      </a:xfrm>
                      <a:prstGeom prst="ellipse">
                        <a:avLst/>
                      </a:prstGeom>
                      <a:solidFill>
                        <a:srgbClr val="2A64E8"/>
                      </a:solidFill>
                      <a:ln w="0"/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marL="0" indent="0" algn="ctr" defTabSz="228600">
                            <a:lnSpc>
                              <a:spcPct val="100000"/>
                            </a:lnSpc>
                            <a:buNone/>
                          </a:pPr>
                          <a:r>
                            <a:rPr lang="en-US" altLang="zh-CN" sz="2000" b="1" dirty="0">
                              <a:solidFill>
                                <a:srgbClr val="FFFFFF"/>
                              </a:solidFill>
                              <a:ea typeface="微软雅黑" panose="020B0503020204020204" charset="-122"/>
                            </a:rPr>
                            <a:t>5</a:t>
                          </a:r>
                          <a:endParaRPr lang="zh-CN" sz="2000" b="1" i="0" strike="noStrike" spc="0" dirty="0">
                            <a:solidFill>
                              <a:srgbClr val="FFFFFF"/>
                            </a:solidFill>
                            <a:latin typeface="等线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3" name="文本框 62"/>
                      <a:cNvSpPr txBox="1"/>
                    </a:nvSpPr>
                    <a:spPr>
                      <a:xfrm>
                        <a:off x="9792510" y="1718778"/>
                        <a:ext cx="1475206" cy="364662"/>
                      </a:xfrm>
                      <a:prstGeom prst="rect">
                        <a:avLst/>
                      </a:prstGeom>
                      <a:ln w="12700">
                        <a:prstDash val="solid"/>
                      </a:ln>
                    </a:spPr>
                    <a:txSp>
                      <a:txBody>
                        <a:bodyPr/>
                        <a:lstStyle>
                          <a:lvl1pPr marL="0" lvl="0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1pPr>
                          <a:lvl2pPr marL="457200" lvl="1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2pPr>
                          <a:lvl3pPr marL="914400" lvl="2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3pPr>
                          <a:lvl4pPr marL="1371600" lvl="3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4pPr>
                          <a:lvl5pPr marL="1828800" lvl="4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5pPr>
                          <a:lvl6pPr marL="2286000" lvl="5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6pPr>
                          <a:lvl7pPr marL="2743200" lvl="6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7pPr>
                          <a:lvl8pPr marL="3200400" lvl="7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8pPr>
                          <a:lvl9pPr marL="3657600" lvl="8" algn="l" defTabSz="914400">
                            <a:defRPr sz="1800" kern="1200">
                              <a:solidFill>
                                <a:srgbClr val="000000"/>
                              </a:solidFill>
                              <a:latin typeface="等线" panose="02010600030101010101" charset="-122"/>
                              <a:ea typeface="等线" panose="02010600030101010101" charset="-122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2000" b="1" dirty="0" smtClean="0">
                              <a:solidFill>
                                <a:srgbClr val="222222"/>
                              </a:solidFill>
                              <a:latin typeface="等线 Light" panose="02010600030101010101" charset="-122"/>
                              <a:ea typeface="微软雅黑" panose="020B0503020204020204" charset="-122"/>
                            </a:rPr>
                            <a:t>完成开通</a:t>
                          </a:r>
                          <a:endParaRPr lang="zh-CN" altLang="zh-CN" sz="2000" b="1" dirty="0">
                            <a:solidFill>
                              <a:srgbClr val="222222"/>
                            </a:solidFill>
                            <a:latin typeface="等线 Light" panose="02010600030101010101" charset="-122"/>
                            <a:ea typeface="微软雅黑" panose="020B0503020204020204" charset="-122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患者开通“信用就医”服务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直接到医生工作站看病就诊，就诊之后按医生要求去检查检验或药房取药。患者可直接免去就诊过程中所有缴费环节，就诊所需的个人支付部分由信用就医额度代扣。待就诊结束后，只需在规定时间内一次性付清个人所需支付费用即可（见下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afterLines="20"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三、实施效果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84" w:leftChars="-35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据统计，从2020年3月开通至2021年底，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多个医生工作站启用“信用就医”，已有超过2.25万名患者开通信用就医，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医院门诊收入590.15万元。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84" w:leftChars="-35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改善患者就医体验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Ansi="Times New Roman" w:cs="Times New Roman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尽管医院已经有了移动支付、智能自助设备，但若是就诊时遇到卡内余额不足、现金没带够等情况时，往往会产生很多不便。而“信用就医”最突出的亮点，便是患者可以直接就诊，无需提前充值预缴金，医生开出处方后，患者便可进入检查、取药等下一个就诊环节，不再需要进行结算操作，只需就诊结束后，在约定时间内一次性结算付清款项即可，实现无感支付（见下图）。对患者来说，改善了就医体验，节省了就诊时间。在疫情防控常态化的背景下，减少了在医院来回奔波驻留时间，减少了各种交叉感染的风险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left="-84" w:leftChars="-35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Ansi="Times New Roman" w:cs="Times New Roman"/>
          <w:color w:val="000000"/>
          <w:kern w:val="2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154940</wp:posOffset>
            </wp:positionV>
            <wp:extent cx="5274310" cy="2148205"/>
            <wp:effectExtent l="0" t="0" r="2540" b="444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优化医院诊疗秩序，提高患者满意度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　　实施“信用就医”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，优化了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就诊秩序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就诊环境，实现了医疗服务人性化、高效化，也提高了医院管理运行效率，减少了医院的运行成本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有利于推进医院财务数字化转型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就诊高峰期窗口排队现象得到一定程度的缓解，有效解决“缴费时间长”问题，同时加快周转，为现场需要临时增加号源的患者提供就医保障，提升患者就医体验，同时还增加了医院门诊人次工作量，在2021年8月、9月厦门爆发两轮新冠疫情背景下，医院门急诊人次工作量仍同比增长了23.85％。在患者满意度提高的同时，医院的美誉度也逐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30" w:afterLines="20" w:line="610" w:lineRule="exact"/>
        <w:ind w:firstLine="576" w:firstLineChars="18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（三）助力社会信用体系建设再升级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30" w:afterLines="20" w:line="61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社会来说，推行“信用就医”服务模式不仅是一种支付方式的变革，而是社会信用体系建设的再升级，有助于推进个人居民诚实守信，建立诚信档案，对社会养成良好的信用风气有着直接引导作用。从医疗领域助力厦门城市信用体系建设乃至社会信用体系建设，也为弘扬诚实守信的社会主义核心价值观贡献力量。“信用就医”对于社会诚信建设，以及患者看病来说，都是极其有益的。可以达成多赢局面，让更多的人从中受益。让守信的人更好地接受公共服务，强化诚实守信的社会价值。</w:t>
      </w:r>
    </w:p>
    <w:p>
      <w:pPr>
        <w:pStyle w:val="2"/>
        <w:snapToGrid w:val="0"/>
        <w:spacing w:line="61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央广网、中国之声、中国新闻网、学习强国、厦门日报、厦门晚报等多家媒体先后对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厦门大学附属中山医院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率先推出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“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信用就医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进行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报道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点赞。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128D"/>
    <w:multiLevelType w:val="singleLevel"/>
    <w:tmpl w:val="AFFF12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63C3341"/>
    <w:multiLevelType w:val="singleLevel"/>
    <w:tmpl w:val="763C334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AAC2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2022-06-02T00:58:56Z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F72527D3638F4A6795128426E7D855DA</vt:lpwstr>
  </property>
</Properties>
</file>