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default"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 w:eastAsia="zh-CN" w:bidi="ar-SA"/>
        </w:rPr>
        <w:t>附件</w:t>
      </w:r>
    </w:p>
    <w:p>
      <w:pPr>
        <w:keepNext w:val="0"/>
        <w:keepLines w:val="0"/>
        <w:pageBreakBefore w:val="0"/>
        <w:widowControl/>
        <w:kinsoku/>
        <w:wordWrap/>
        <w:overflowPunct/>
        <w:topLinePunct w:val="0"/>
        <w:autoSpaceDE/>
        <w:autoSpaceDN/>
        <w:bidi w:val="0"/>
        <w:adjustRightInd/>
        <w:snapToGrid/>
        <w:spacing w:line="590" w:lineRule="exact"/>
        <w:jc w:val="both"/>
        <w:textAlignment w:val="auto"/>
        <w:rPr>
          <w:rFonts w:hint="eastAsia" w:ascii="黑体" w:hAnsi="黑体" w:eastAsia="黑体" w:cs="黑体"/>
          <w:b w:val="0"/>
          <w:bCs w:val="0"/>
          <w:color w:val="000000"/>
          <w:kern w:val="2"/>
          <w:sz w:val="32"/>
          <w:szCs w:val="32"/>
          <w:lang w:val="en" w:eastAsia="zh-CN" w:bidi="ar-SA"/>
        </w:rPr>
      </w:pPr>
    </w:p>
    <w:p>
      <w:pPr>
        <w:pStyle w:val="3"/>
        <w:keepNext w:val="0"/>
        <w:keepLines w:val="0"/>
        <w:pageBreakBefore w:val="0"/>
        <w:kinsoku/>
        <w:wordWrap/>
        <w:overflowPunct/>
        <w:topLinePunct w:val="0"/>
        <w:bidi w:val="0"/>
        <w:adjustRightInd/>
        <w:snapToGrid/>
        <w:spacing w:before="55" w:line="590" w:lineRule="exact"/>
        <w:ind w:left="0" w:firstLine="0" w:firstLineChars="0"/>
        <w:jc w:val="center"/>
        <w:textAlignment w:val="auto"/>
        <w:rPr>
          <w:rFonts w:hint="default" w:ascii="Times New Roman" w:hAnsi="Times New Roman" w:eastAsia="仿宋" w:cs="Times New Roman"/>
          <w:sz w:val="32"/>
          <w:szCs w:val="32"/>
        </w:rPr>
      </w:pPr>
      <w:r>
        <w:rPr>
          <w:rFonts w:hint="eastAsia" w:ascii="方正小标宋简体" w:hAnsi="方正小标宋简体" w:eastAsia="方正小标宋简体" w:cs="方正小标宋简体"/>
          <w:b w:val="0"/>
          <w:bCs w:val="0"/>
          <w:color w:val="000000"/>
          <w:kern w:val="2"/>
          <w:sz w:val="44"/>
          <w:szCs w:val="44"/>
          <w:lang w:val="en-US" w:eastAsia="zh-CN" w:bidi="ar-SA"/>
        </w:rPr>
        <w:t>DRG管理工具助力公立医院高质量发展</w:t>
      </w:r>
    </w:p>
    <w:p>
      <w:pPr>
        <w:pStyle w:val="3"/>
        <w:keepNext w:val="0"/>
        <w:keepLines w:val="0"/>
        <w:pageBreakBefore w:val="0"/>
        <w:kinsoku/>
        <w:wordWrap/>
        <w:overflowPunct/>
        <w:topLinePunct w:val="0"/>
        <w:bidi w:val="0"/>
        <w:adjustRightInd/>
        <w:snapToGrid/>
        <w:spacing w:before="55" w:line="59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福建省南平市第一医院</w:t>
      </w:r>
    </w:p>
    <w:p>
      <w:pPr>
        <w:pStyle w:val="3"/>
        <w:keepNext w:val="0"/>
        <w:keepLines w:val="0"/>
        <w:pageBreakBefore w:val="0"/>
        <w:kinsoku/>
        <w:wordWrap/>
        <w:overflowPunct/>
        <w:topLinePunct w:val="0"/>
        <w:bidi w:val="0"/>
        <w:adjustRightInd/>
        <w:snapToGrid/>
        <w:spacing w:before="55" w:line="590" w:lineRule="exact"/>
        <w:ind w:left="106" w:firstLine="640" w:firstLineChars="200"/>
        <w:jc w:val="both"/>
        <w:textAlignment w:val="auto"/>
        <w:rPr>
          <w:rFonts w:hint="eastAsia" w:ascii="黑体" w:hAnsi="黑体" w:eastAsia="黑体" w:cs="黑体"/>
          <w:sz w:val="32"/>
          <w:szCs w:val="32"/>
        </w:rPr>
      </w:pPr>
    </w:p>
    <w:p>
      <w:pPr>
        <w:pStyle w:val="3"/>
        <w:keepNext w:val="0"/>
        <w:keepLines w:val="0"/>
        <w:pageBreakBefore w:val="0"/>
        <w:kinsoku/>
        <w:wordWrap/>
        <w:overflowPunct/>
        <w:topLinePunct w:val="0"/>
        <w:bidi w:val="0"/>
        <w:adjustRightInd/>
        <w:snapToGrid/>
        <w:spacing w:before="55" w:line="590" w:lineRule="exact"/>
        <w:ind w:left="106"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、背景介绍</w:t>
      </w:r>
    </w:p>
    <w:p>
      <w:pPr>
        <w:pStyle w:val="3"/>
        <w:keepNext w:val="0"/>
        <w:keepLines w:val="0"/>
        <w:pageBreakBefore w:val="0"/>
        <w:kinsoku/>
        <w:wordWrap/>
        <w:overflowPunct/>
        <w:topLinePunct w:val="0"/>
        <w:bidi w:val="0"/>
        <w:adjustRightInd/>
        <w:snapToGrid/>
        <w:spacing w:before="55" w:line="590" w:lineRule="exact"/>
        <w:ind w:left="106"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医疗体制改革和DRG付费方式改革对公立医院的运营管理提出了新的要求。</w:t>
      </w:r>
      <w:r>
        <w:rPr>
          <w:rFonts w:hint="eastAsia" w:ascii="仿宋_GB2312" w:hAnsi="仿宋_GB2312" w:eastAsia="仿宋_GB2312" w:cs="仿宋_GB2312"/>
          <w:sz w:val="32"/>
          <w:szCs w:val="32"/>
          <w:lang w:val="en-US" w:eastAsia="zh-CN"/>
        </w:rPr>
        <w:t>南平市第一医院</w:t>
      </w:r>
      <w:r>
        <w:rPr>
          <w:rFonts w:hint="eastAsia" w:ascii="仿宋_GB2312" w:hAnsi="仿宋_GB2312" w:eastAsia="仿宋_GB2312" w:cs="仿宋_GB2312"/>
          <w:sz w:val="32"/>
          <w:szCs w:val="32"/>
        </w:rPr>
        <w:t>多措并举，积极</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CHS-DRG</w:t>
      </w:r>
      <w:r>
        <w:rPr>
          <w:rFonts w:hint="eastAsia" w:ascii="仿宋_GB2312" w:hAnsi="仿宋_GB2312" w:eastAsia="仿宋_GB2312" w:cs="仿宋_GB2312"/>
          <w:sz w:val="32"/>
          <w:szCs w:val="32"/>
          <w:lang w:eastAsia="zh-CN"/>
        </w:rPr>
        <w:t>收</w:t>
      </w:r>
      <w:r>
        <w:rPr>
          <w:rFonts w:hint="eastAsia" w:ascii="仿宋_GB2312" w:hAnsi="仿宋_GB2312" w:eastAsia="仿宋_GB2312" w:cs="仿宋_GB2312"/>
          <w:sz w:val="32"/>
          <w:szCs w:val="32"/>
        </w:rPr>
        <w:t>付费试点，经</w:t>
      </w:r>
      <w:r>
        <w:rPr>
          <w:rFonts w:hint="eastAsia" w:ascii="仿宋_GB2312" w:hAnsi="仿宋_GB2312" w:eastAsia="仿宋_GB2312" w:cs="仿宋_GB2312"/>
          <w:sz w:val="32"/>
          <w:szCs w:val="32"/>
          <w:lang w:val="en-US" w:eastAsia="zh-CN"/>
        </w:rPr>
        <w:t>过</w:t>
      </w:r>
      <w:r>
        <w:rPr>
          <w:rFonts w:hint="eastAsia" w:ascii="仿宋_GB2312" w:hAnsi="仿宋_GB2312" w:eastAsia="仿宋_GB2312" w:cs="仿宋_GB2312"/>
          <w:sz w:val="32"/>
          <w:szCs w:val="32"/>
        </w:rPr>
        <w:t>近1年的模拟运行与分析测算，</w:t>
      </w: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于2021年8月正式实施DRG付费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在DRG工具的助力下，</w:t>
      </w: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逐步提升运营管理效率，</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rPr>
        <w:t>高质量发展</w:t>
      </w:r>
      <w:r>
        <w:rPr>
          <w:rFonts w:hint="eastAsia" w:ascii="仿宋_GB2312" w:hAnsi="仿宋_GB2312" w:eastAsia="仿宋_GB2312" w:cs="仿宋_GB2312"/>
          <w:sz w:val="32"/>
          <w:szCs w:val="32"/>
          <w:lang w:val="en-US" w:eastAsia="zh-CN"/>
        </w:rPr>
        <w:t>超越</w:t>
      </w:r>
      <w:r>
        <w:rPr>
          <w:rFonts w:hint="eastAsia" w:ascii="仿宋_GB2312" w:hAnsi="仿宋_GB2312" w:eastAsia="仿宋_GB2312" w:cs="仿宋_GB2312"/>
          <w:sz w:val="32"/>
          <w:szCs w:val="32"/>
        </w:rPr>
        <w:t>。</w:t>
      </w:r>
    </w:p>
    <w:p>
      <w:pPr>
        <w:pStyle w:val="3"/>
        <w:keepNext w:val="0"/>
        <w:keepLines w:val="0"/>
        <w:pageBreakBefore w:val="0"/>
        <w:kinsoku/>
        <w:wordWrap/>
        <w:overflowPunct/>
        <w:topLinePunct w:val="0"/>
        <w:bidi w:val="0"/>
        <w:adjustRightInd/>
        <w:snapToGrid/>
        <w:spacing w:before="55" w:line="590" w:lineRule="exact"/>
        <w:jc w:val="both"/>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、亮点做法</w:t>
      </w:r>
    </w:p>
    <w:p>
      <w:pPr>
        <w:pStyle w:val="3"/>
        <w:keepNext w:val="0"/>
        <w:keepLines w:val="0"/>
        <w:pageBreakBefore w:val="0"/>
        <w:kinsoku/>
        <w:wordWrap/>
        <w:overflowPunct/>
        <w:topLinePunct w:val="0"/>
        <w:bidi w:val="0"/>
        <w:adjustRightInd/>
        <w:snapToGrid/>
        <w:spacing w:before="55" w:line="590" w:lineRule="exact"/>
        <w:ind w:left="106"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rPr>
        <w:t>厉兵秣马</w:t>
      </w:r>
      <w:r>
        <w:rPr>
          <w:rFonts w:hint="eastAsia" w:ascii="楷体_GB2312" w:hAnsi="楷体_GB2312" w:eastAsia="楷体_GB2312" w:cs="楷体_GB2312"/>
          <w:sz w:val="32"/>
          <w:szCs w:val="32"/>
        </w:rPr>
        <w:t>，强化队伍建设</w:t>
      </w:r>
    </w:p>
    <w:p>
      <w:pPr>
        <w:pStyle w:val="3"/>
        <w:keepNext w:val="0"/>
        <w:keepLines w:val="0"/>
        <w:pageBreakBefore w:val="0"/>
        <w:kinsoku/>
        <w:wordWrap/>
        <w:overflowPunct/>
        <w:topLinePunct w:val="0"/>
        <w:bidi w:val="0"/>
        <w:adjustRightInd/>
        <w:snapToGrid/>
        <w:spacing w:before="55" w:line="590" w:lineRule="exact"/>
        <w:ind w:firstLine="640" w:firstLineChars="200"/>
        <w:jc w:val="both"/>
        <w:textAlignment w:val="auto"/>
        <w:rPr>
          <w:rFonts w:hint="eastAsia" w:ascii="仿宋_GB2312" w:hAnsi="仿宋_GB2312" w:eastAsia="仿宋_GB2312" w:cs="仿宋_GB2312"/>
          <w:sz w:val="32"/>
          <w:szCs w:val="32"/>
        </w:rPr>
      </w:pPr>
      <w:bookmarkStart w:id="0" w:name="_Hlk90584635"/>
      <w:r>
        <w:rPr>
          <w:rFonts w:hint="eastAsia" w:ascii="仿宋_GB2312" w:hAnsi="仿宋_GB2312" w:eastAsia="仿宋_GB2312" w:cs="仿宋_GB2312"/>
          <w:sz w:val="32"/>
          <w:szCs w:val="32"/>
          <w:lang w:val="en-US" w:eastAsia="zh-CN"/>
        </w:rPr>
        <w:t>南平市第一医院</w:t>
      </w:r>
      <w:r>
        <w:rPr>
          <w:rFonts w:hint="eastAsia" w:ascii="仿宋_GB2312" w:hAnsi="仿宋_GB2312" w:eastAsia="仿宋_GB2312" w:cs="仿宋_GB2312"/>
          <w:sz w:val="32"/>
          <w:szCs w:val="32"/>
        </w:rPr>
        <w:t>建立C</w:t>
      </w:r>
      <w:bookmarkEnd w:id="0"/>
      <w:r>
        <w:rPr>
          <w:rFonts w:hint="eastAsia" w:ascii="仿宋_GB2312" w:hAnsi="仿宋_GB2312" w:eastAsia="仿宋_GB2312" w:cs="仿宋_GB2312"/>
          <w:sz w:val="32"/>
          <w:szCs w:val="32"/>
        </w:rPr>
        <w:t>HS-DRG付费组织架构与运行机制，成立由院长担任组长的DRG付费领导小组，下设临床专家小组和病案首页质控小组，建立涵盖医保、财务、信息、审计、临床、病案、质控等学科的专家团队，构建一把手领导下的总协调机制，每季度定期召开DRG付费工作推进会，选派业务骨干</w:t>
      </w:r>
      <w:r>
        <w:rPr>
          <w:rFonts w:hint="eastAsia" w:ascii="仿宋_GB2312" w:hAnsi="仿宋_GB2312" w:eastAsia="仿宋_GB2312" w:cs="仿宋_GB2312"/>
          <w:sz w:val="32"/>
          <w:szCs w:val="32"/>
          <w:lang w:val="en-US" w:eastAsia="zh-CN"/>
        </w:rPr>
        <w:t>加强培训</w:t>
      </w:r>
      <w:r>
        <w:rPr>
          <w:rFonts w:hint="eastAsia" w:ascii="仿宋_GB2312" w:hAnsi="仿宋_GB2312" w:eastAsia="仿宋_GB2312" w:cs="仿宋_GB2312"/>
          <w:sz w:val="32"/>
          <w:szCs w:val="32"/>
        </w:rPr>
        <w:t>学习，形成以DRG为导向的医院运营管理机制，通过细化组织单元，明确院、科室、诊疗组、医师个人的运营管理目标，落实主体责任，各司其职，全员参与。</w:t>
      </w:r>
    </w:p>
    <w:p>
      <w:pPr>
        <w:pStyle w:val="3"/>
        <w:keepNext w:val="0"/>
        <w:keepLines w:val="0"/>
        <w:pageBreakBefore w:val="0"/>
        <w:kinsoku/>
        <w:wordWrap/>
        <w:overflowPunct/>
        <w:topLinePunct w:val="0"/>
        <w:bidi w:val="0"/>
        <w:adjustRightInd/>
        <w:snapToGrid/>
        <w:spacing w:before="55" w:line="590" w:lineRule="exact"/>
        <w:jc w:val="center"/>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mc:AlternateContent>
          <mc:Choice Requires="wpg">
            <w:drawing>
              <wp:anchor distT="0" distB="0" distL="114300" distR="114300" simplePos="0" relativeHeight="251659264" behindDoc="0" locked="0" layoutInCell="1" allowOverlap="1">
                <wp:simplePos x="0" y="0"/>
                <wp:positionH relativeFrom="column">
                  <wp:posOffset>90170</wp:posOffset>
                </wp:positionH>
                <wp:positionV relativeFrom="paragraph">
                  <wp:posOffset>247650</wp:posOffset>
                </wp:positionV>
                <wp:extent cx="5303520" cy="3555365"/>
                <wp:effectExtent l="4445" t="4445" r="6985" b="21590"/>
                <wp:wrapSquare wrapText="bothSides"/>
                <wp:docPr id="23" name="组合 2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303520" cy="3555365"/>
                          <a:chOff x="1634" y="6304"/>
                          <a:chExt cx="6260" cy="1992"/>
                        </a:xfrm>
                      </wpg:grpSpPr>
                      <wps:wsp>
                        <wps:cNvPr id="3" name="矩形 3"/>
                        <wps:cNvSpPr>
                          <a:spLocks noChangeAspect="1" noTextEdit="1"/>
                        </wps:cNvSpPr>
                        <wps:spPr>
                          <a:xfrm>
                            <a:off x="1634" y="6304"/>
                            <a:ext cx="6260" cy="1992"/>
                          </a:xfrm>
                          <a:prstGeom prst="rect">
                            <a:avLst/>
                          </a:prstGeom>
                          <a:solidFill>
                            <a:srgbClr val="FFFFFF"/>
                          </a:solidFill>
                          <a:ln w="12700">
                            <a:noFill/>
                          </a:ln>
                        </wps:spPr>
                        <wps:bodyPr upright="1"/>
                      </wps:wsp>
                      <wps:wsp>
                        <wps:cNvPr id="4" name="肘形连接符 4"/>
                        <wps:cNvCnPr/>
                        <wps:spPr>
                          <a:xfrm rot="5400000" flipH="1">
                            <a:off x="5693" y="5595"/>
                            <a:ext cx="993" cy="2856"/>
                          </a:xfrm>
                          <a:prstGeom prst="bentConnector3">
                            <a:avLst>
                              <a:gd name="adj1" fmla="val 5481"/>
                            </a:avLst>
                          </a:prstGeom>
                          <a:ln w="28575" cap="flat" cmpd="sng">
                            <a:solidFill>
                              <a:srgbClr val="000000"/>
                            </a:solidFill>
                            <a:prstDash val="solid"/>
                            <a:miter/>
                            <a:headEnd type="none" w="med" len="med"/>
                            <a:tailEnd type="none" w="med" len="med"/>
                          </a:ln>
                        </wps:spPr>
                        <wps:bodyPr/>
                      </wps:wsp>
                      <wps:wsp>
                        <wps:cNvPr id="5" name="肘形连接符 5"/>
                        <wps:cNvCnPr/>
                        <wps:spPr>
                          <a:xfrm rot="5400000" flipH="1">
                            <a:off x="5228" y="6060"/>
                            <a:ext cx="993" cy="1926"/>
                          </a:xfrm>
                          <a:prstGeom prst="bentConnector3">
                            <a:avLst>
                              <a:gd name="adj1" fmla="val 5481"/>
                            </a:avLst>
                          </a:prstGeom>
                          <a:ln w="28575" cap="flat" cmpd="sng">
                            <a:solidFill>
                              <a:srgbClr val="000000"/>
                            </a:solidFill>
                            <a:prstDash val="solid"/>
                            <a:miter/>
                            <a:headEnd type="none" w="med" len="med"/>
                            <a:tailEnd type="none" w="med" len="med"/>
                          </a:ln>
                        </wps:spPr>
                        <wps:bodyPr/>
                      </wps:wsp>
                      <wps:wsp>
                        <wps:cNvPr id="6" name="肘形连接符 6"/>
                        <wps:cNvCnPr/>
                        <wps:spPr>
                          <a:xfrm rot="10800000">
                            <a:off x="4764" y="6528"/>
                            <a:ext cx="374" cy="496"/>
                          </a:xfrm>
                          <a:prstGeom prst="bentConnector2">
                            <a:avLst/>
                          </a:prstGeom>
                          <a:ln w="28575" cap="flat" cmpd="sng">
                            <a:solidFill>
                              <a:srgbClr val="000000"/>
                            </a:solidFill>
                            <a:prstDash val="solid"/>
                            <a:miter/>
                            <a:headEnd type="none" w="med" len="med"/>
                            <a:tailEnd type="none" w="med" len="med"/>
                          </a:ln>
                        </wps:spPr>
                        <wps:bodyPr/>
                      </wps:wsp>
                      <wps:wsp>
                        <wps:cNvPr id="7" name="肘形连接符 7"/>
                        <wps:cNvCnPr/>
                        <wps:spPr>
                          <a:xfrm flipV="1">
                            <a:off x="4390" y="6528"/>
                            <a:ext cx="374" cy="497"/>
                          </a:xfrm>
                          <a:prstGeom prst="bentConnector2">
                            <a:avLst/>
                          </a:prstGeom>
                          <a:ln w="28575" cap="flat" cmpd="sng">
                            <a:solidFill>
                              <a:srgbClr val="000000"/>
                            </a:solidFill>
                            <a:prstDash val="solid"/>
                            <a:miter/>
                            <a:headEnd type="none" w="med" len="med"/>
                            <a:tailEnd type="none" w="med" len="med"/>
                          </a:ln>
                        </wps:spPr>
                        <wps:bodyPr/>
                      </wps:wsp>
                      <wps:wsp>
                        <wps:cNvPr id="8" name="肘形连接符 8"/>
                        <wps:cNvCnPr/>
                        <wps:spPr>
                          <a:xfrm rot="5400000" flipH="1">
                            <a:off x="4758" y="6530"/>
                            <a:ext cx="993" cy="985"/>
                          </a:xfrm>
                          <a:prstGeom prst="bentConnector3">
                            <a:avLst>
                              <a:gd name="adj1" fmla="val 5481"/>
                            </a:avLst>
                          </a:prstGeom>
                          <a:ln w="28575" cap="flat" cmpd="sng">
                            <a:solidFill>
                              <a:srgbClr val="000000"/>
                            </a:solidFill>
                            <a:prstDash val="solid"/>
                            <a:miter/>
                            <a:headEnd type="none" w="med" len="med"/>
                            <a:tailEnd type="none" w="med" len="med"/>
                          </a:ln>
                        </wps:spPr>
                        <wps:bodyPr/>
                      </wps:wsp>
                      <wps:wsp>
                        <wps:cNvPr id="9" name="肘形连接符 9"/>
                        <wps:cNvCnPr/>
                        <wps:spPr>
                          <a:xfrm rot="5400000" flipH="1">
                            <a:off x="4284" y="7004"/>
                            <a:ext cx="993" cy="37"/>
                          </a:xfrm>
                          <a:prstGeom prst="bentConnector3">
                            <a:avLst>
                              <a:gd name="adj1" fmla="val 5481"/>
                            </a:avLst>
                          </a:prstGeom>
                          <a:ln w="28575" cap="flat" cmpd="sng">
                            <a:solidFill>
                              <a:srgbClr val="000000"/>
                            </a:solidFill>
                            <a:prstDash val="solid"/>
                            <a:miter/>
                            <a:headEnd type="none" w="med" len="med"/>
                            <a:tailEnd type="none" w="med" len="med"/>
                          </a:ln>
                        </wps:spPr>
                        <wps:bodyPr/>
                      </wps:wsp>
                      <wps:wsp>
                        <wps:cNvPr id="10" name="肘形连接符 10"/>
                        <wps:cNvCnPr/>
                        <wps:spPr>
                          <a:xfrm rot="-5400000">
                            <a:off x="3807" y="6565"/>
                            <a:ext cx="993" cy="916"/>
                          </a:xfrm>
                          <a:prstGeom prst="bentConnector3">
                            <a:avLst>
                              <a:gd name="adj1" fmla="val 5481"/>
                            </a:avLst>
                          </a:prstGeom>
                          <a:ln w="28575" cap="flat" cmpd="sng">
                            <a:solidFill>
                              <a:srgbClr val="000000"/>
                            </a:solidFill>
                            <a:prstDash val="solid"/>
                            <a:miter/>
                            <a:headEnd type="none" w="med" len="med"/>
                            <a:tailEnd type="none" w="med" len="med"/>
                          </a:ln>
                        </wps:spPr>
                        <wps:bodyPr/>
                      </wps:wsp>
                      <wps:wsp>
                        <wps:cNvPr id="11" name="肘形连接符 11"/>
                        <wps:cNvCnPr/>
                        <wps:spPr>
                          <a:xfrm rot="-5400000">
                            <a:off x="3328" y="6085"/>
                            <a:ext cx="993" cy="1875"/>
                          </a:xfrm>
                          <a:prstGeom prst="bentConnector3">
                            <a:avLst>
                              <a:gd name="adj1" fmla="val 5481"/>
                            </a:avLst>
                          </a:prstGeom>
                          <a:ln w="28575" cap="flat" cmpd="sng">
                            <a:solidFill>
                              <a:srgbClr val="000000"/>
                            </a:solidFill>
                            <a:prstDash val="solid"/>
                            <a:miter/>
                            <a:headEnd type="none" w="med" len="med"/>
                            <a:tailEnd type="none" w="med" len="med"/>
                          </a:ln>
                        </wps:spPr>
                        <wps:bodyPr/>
                      </wps:wsp>
                      <wps:wsp>
                        <wps:cNvPr id="12" name="肘形连接符 12"/>
                        <wps:cNvCnPr/>
                        <wps:spPr>
                          <a:xfrm rot="-5400000">
                            <a:off x="2847" y="5605"/>
                            <a:ext cx="993" cy="2836"/>
                          </a:xfrm>
                          <a:prstGeom prst="bentConnector3">
                            <a:avLst>
                              <a:gd name="adj1" fmla="val 5481"/>
                            </a:avLst>
                          </a:prstGeom>
                          <a:ln w="25400" cap="flat" cmpd="sng">
                            <a:solidFill>
                              <a:srgbClr val="000000"/>
                            </a:solidFill>
                            <a:prstDash val="solid"/>
                            <a:miter/>
                            <a:headEnd type="none" w="med" len="med"/>
                            <a:tailEnd type="none" w="med" len="med"/>
                          </a:ln>
                        </wps:spPr>
                        <wps:bodyPr/>
                      </wps:wsp>
                      <wps:wsp>
                        <wps:cNvPr id="13" name="圆角矩形 13"/>
                        <wps:cNvSpPr/>
                        <wps:spPr>
                          <a:xfrm>
                            <a:off x="3616" y="6304"/>
                            <a:ext cx="2296" cy="224"/>
                          </a:xfrm>
                          <a:prstGeom prst="roundRect">
                            <a:avLst>
                              <a:gd name="adj" fmla="val 16667"/>
                            </a:avLst>
                          </a:prstGeom>
                          <a:noFill/>
                          <a:ln w="9525" cap="flat" cmpd="sng">
                            <a:solidFill>
                              <a:srgbClr val="000000"/>
                            </a:solidFill>
                            <a:prstDash val="solid"/>
                            <a:round/>
                            <a:headEnd type="none" w="med" len="med"/>
                            <a:tailEnd type="none" w="med" len="med"/>
                          </a:ln>
                        </wps:spPr>
                        <wps:txbx>
                          <w:txbxContent>
                            <w:p>
                              <w:pPr>
                                <w:jc w:val="center"/>
                                <w:rPr>
                                  <w:sz w:val="28"/>
                                  <w:szCs w:val="28"/>
                                </w:rPr>
                              </w:pPr>
                              <w:r>
                                <w:rPr>
                                  <w:sz w:val="28"/>
                                  <w:szCs w:val="28"/>
                                </w:rPr>
                                <w:t>DRG</w:t>
                              </w:r>
                              <w:r>
                                <w:rPr>
                                  <w:rFonts w:hint="eastAsia"/>
                                  <w:sz w:val="28"/>
                                  <w:szCs w:val="28"/>
                                </w:rPr>
                                <w:t>付费领导小组</w:t>
                              </w:r>
                            </w:p>
                          </w:txbxContent>
                        </wps:txbx>
                        <wps:bodyPr lIns="0" tIns="0" rIns="0" bIns="0" anchor="ctr" anchorCtr="0" upright="1"/>
                      </wps:wsp>
                      <wps:wsp>
                        <wps:cNvPr id="14" name="圆角矩形 14"/>
                        <wps:cNvSpPr/>
                        <wps:spPr>
                          <a:xfrm>
                            <a:off x="1634" y="7521"/>
                            <a:ext cx="587" cy="775"/>
                          </a:xfrm>
                          <a:prstGeom prst="roundRect">
                            <a:avLst>
                              <a:gd name="adj" fmla="val 16667"/>
                            </a:avLst>
                          </a:prstGeom>
                          <a:noFill/>
                          <a:ln w="9525" cap="flat" cmpd="sng">
                            <a:solidFill>
                              <a:srgbClr val="000000"/>
                            </a:solidFill>
                            <a:prstDash val="solid"/>
                            <a:round/>
                            <a:headEnd type="none" w="med" len="med"/>
                            <a:tailEnd type="none" w="med" len="med"/>
                          </a:ln>
                        </wps:spPr>
                        <wps:txbx>
                          <w:txbxContent>
                            <w:p>
                              <w:pPr>
                                <w:jc w:val="center"/>
                                <w:rPr>
                                  <w:sz w:val="28"/>
                                  <w:szCs w:val="28"/>
                                </w:rPr>
                              </w:pPr>
                              <w:r>
                                <w:rPr>
                                  <w:rFonts w:hint="eastAsia"/>
                                  <w:sz w:val="28"/>
                                  <w:szCs w:val="28"/>
                                </w:rPr>
                                <w:t>医务部</w:t>
                              </w:r>
                            </w:p>
                          </w:txbxContent>
                        </wps:txbx>
                        <wps:bodyPr vert="eaVert" lIns="0" tIns="0" rIns="0" bIns="0" anchor="ctr" anchorCtr="0" upright="1"/>
                      </wps:wsp>
                      <wps:wsp>
                        <wps:cNvPr id="15" name="圆角矩形 15"/>
                        <wps:cNvSpPr/>
                        <wps:spPr>
                          <a:xfrm>
                            <a:off x="2595" y="7521"/>
                            <a:ext cx="588" cy="775"/>
                          </a:xfrm>
                          <a:prstGeom prst="roundRect">
                            <a:avLst>
                              <a:gd name="adj" fmla="val 16667"/>
                            </a:avLst>
                          </a:prstGeom>
                          <a:noFill/>
                          <a:ln w="9525" cap="flat" cmpd="sng">
                            <a:solidFill>
                              <a:srgbClr val="000000"/>
                            </a:solidFill>
                            <a:prstDash val="solid"/>
                            <a:round/>
                            <a:headEnd type="none" w="med" len="med"/>
                            <a:tailEnd type="none" w="med" len="med"/>
                          </a:ln>
                        </wps:spPr>
                        <wps:txbx>
                          <w:txbxContent>
                            <w:p>
                              <w:pPr>
                                <w:jc w:val="center"/>
                                <w:rPr>
                                  <w:sz w:val="28"/>
                                  <w:szCs w:val="28"/>
                                </w:rPr>
                              </w:pPr>
                              <w:r>
                                <w:rPr>
                                  <w:rFonts w:hint="eastAsia"/>
                                  <w:sz w:val="28"/>
                                  <w:szCs w:val="28"/>
                                </w:rPr>
                                <w:t>质管科</w:t>
                              </w:r>
                              <w:r>
                                <w:rPr>
                                  <w:sz w:val="28"/>
                                  <w:szCs w:val="28"/>
                                </w:rPr>
                                <w:t>&lt;</w:t>
                              </w:r>
                              <w:r>
                                <w:rPr>
                                  <w:rFonts w:hint="eastAsia"/>
                                  <w:sz w:val="28"/>
                                  <w:szCs w:val="28"/>
                                </w:rPr>
                                <w:t>病案科</w:t>
                              </w:r>
                              <w:r>
                                <w:rPr>
                                  <w:sz w:val="28"/>
                                  <w:szCs w:val="28"/>
                                </w:rPr>
                                <w:t>&gt;</w:t>
                              </w:r>
                            </w:p>
                          </w:txbxContent>
                        </wps:txbx>
                        <wps:bodyPr vert="eaVert" lIns="0" tIns="0" rIns="0" bIns="0" anchor="ctr" anchorCtr="0" upright="1"/>
                      </wps:wsp>
                      <wps:wsp>
                        <wps:cNvPr id="16" name="圆角矩形 16"/>
                        <wps:cNvSpPr/>
                        <wps:spPr>
                          <a:xfrm>
                            <a:off x="3557" y="7521"/>
                            <a:ext cx="582" cy="775"/>
                          </a:xfrm>
                          <a:prstGeom prst="roundRect">
                            <a:avLst>
                              <a:gd name="adj" fmla="val 16667"/>
                            </a:avLst>
                          </a:prstGeom>
                          <a:noFill/>
                          <a:ln w="9525" cap="flat" cmpd="sng">
                            <a:solidFill>
                              <a:srgbClr val="000000"/>
                            </a:solidFill>
                            <a:prstDash val="solid"/>
                            <a:round/>
                            <a:headEnd type="none" w="med" len="med"/>
                            <a:tailEnd type="none" w="med" len="med"/>
                          </a:ln>
                        </wps:spPr>
                        <wps:txbx>
                          <w:txbxContent>
                            <w:p>
                              <w:pPr>
                                <w:jc w:val="center"/>
                                <w:rPr>
                                  <w:sz w:val="28"/>
                                  <w:szCs w:val="28"/>
                                </w:rPr>
                              </w:pPr>
                              <w:r>
                                <w:rPr>
                                  <w:rFonts w:hint="eastAsia"/>
                                  <w:sz w:val="28"/>
                                  <w:szCs w:val="28"/>
                                </w:rPr>
                                <w:t>信息管理中心</w:t>
                              </w:r>
                            </w:p>
                          </w:txbxContent>
                        </wps:txbx>
                        <wps:bodyPr vert="eaVert" lIns="0" tIns="0" rIns="0" bIns="0" anchor="ctr" anchorCtr="0" upright="1"/>
                      </wps:wsp>
                      <wps:wsp>
                        <wps:cNvPr id="17" name="圆角矩形 17"/>
                        <wps:cNvSpPr/>
                        <wps:spPr>
                          <a:xfrm>
                            <a:off x="4513" y="7521"/>
                            <a:ext cx="577" cy="775"/>
                          </a:xfrm>
                          <a:prstGeom prst="roundRect">
                            <a:avLst>
                              <a:gd name="adj" fmla="val 16667"/>
                            </a:avLst>
                          </a:prstGeom>
                          <a:noFill/>
                          <a:ln w="9525" cap="flat" cmpd="sng">
                            <a:solidFill>
                              <a:srgbClr val="000000"/>
                            </a:solidFill>
                            <a:prstDash val="solid"/>
                            <a:round/>
                            <a:headEnd type="none" w="med" len="med"/>
                            <a:tailEnd type="none" w="med" len="med"/>
                          </a:ln>
                        </wps:spPr>
                        <wps:txbx>
                          <w:txbxContent>
                            <w:p>
                              <w:pPr>
                                <w:jc w:val="center"/>
                                <w:rPr>
                                  <w:sz w:val="28"/>
                                  <w:szCs w:val="28"/>
                                </w:rPr>
                              </w:pPr>
                              <w:r>
                                <w:rPr>
                                  <w:rFonts w:hint="eastAsia"/>
                                  <w:sz w:val="28"/>
                                  <w:szCs w:val="28"/>
                                </w:rPr>
                                <w:t>医保办</w:t>
                              </w:r>
                            </w:p>
                          </w:txbxContent>
                        </wps:txbx>
                        <wps:bodyPr vert="eaVert" lIns="0" tIns="0" rIns="0" bIns="0" anchor="ctr" anchorCtr="0" upright="1"/>
                      </wps:wsp>
                      <wps:wsp>
                        <wps:cNvPr id="18" name="圆角矩形 18"/>
                        <wps:cNvSpPr/>
                        <wps:spPr>
                          <a:xfrm>
                            <a:off x="5464" y="7521"/>
                            <a:ext cx="570" cy="775"/>
                          </a:xfrm>
                          <a:prstGeom prst="roundRect">
                            <a:avLst>
                              <a:gd name="adj" fmla="val 16667"/>
                            </a:avLst>
                          </a:prstGeom>
                          <a:noFill/>
                          <a:ln w="9525" cap="flat" cmpd="sng">
                            <a:solidFill>
                              <a:srgbClr val="000000"/>
                            </a:solidFill>
                            <a:prstDash val="solid"/>
                            <a:round/>
                            <a:headEnd type="none" w="med" len="med"/>
                            <a:tailEnd type="none" w="med" len="med"/>
                          </a:ln>
                        </wps:spPr>
                        <wps:txbx>
                          <w:txbxContent>
                            <w:p>
                              <w:pPr>
                                <w:jc w:val="center"/>
                                <w:rPr>
                                  <w:sz w:val="28"/>
                                  <w:szCs w:val="28"/>
                                </w:rPr>
                              </w:pPr>
                              <w:r>
                                <w:rPr>
                                  <w:rFonts w:hint="eastAsia"/>
                                  <w:sz w:val="28"/>
                                  <w:szCs w:val="28"/>
                                </w:rPr>
                                <w:t>财务科</w:t>
                              </w:r>
                            </w:p>
                          </w:txbxContent>
                        </wps:txbx>
                        <wps:bodyPr vert="eaVert" lIns="0" tIns="0" rIns="0" bIns="0" anchor="ctr" anchorCtr="0" upright="1"/>
                      </wps:wsp>
                      <wps:wsp>
                        <wps:cNvPr id="19" name="圆角矩形 19"/>
                        <wps:cNvSpPr/>
                        <wps:spPr>
                          <a:xfrm>
                            <a:off x="2094" y="6903"/>
                            <a:ext cx="2296" cy="243"/>
                          </a:xfrm>
                          <a:prstGeom prst="roundRect">
                            <a:avLst>
                              <a:gd name="adj" fmla="val 16667"/>
                            </a:avLst>
                          </a:prstGeom>
                          <a:noFill/>
                          <a:ln w="9525" cap="flat" cmpd="sng">
                            <a:solidFill>
                              <a:srgbClr val="000000"/>
                            </a:solidFill>
                            <a:prstDash val="solid"/>
                            <a:round/>
                            <a:headEnd type="none" w="med" len="med"/>
                            <a:tailEnd type="none" w="med" len="med"/>
                          </a:ln>
                        </wps:spPr>
                        <wps:txbx>
                          <w:txbxContent>
                            <w:p>
                              <w:pPr>
                                <w:jc w:val="center"/>
                                <w:rPr>
                                  <w:sz w:val="28"/>
                                  <w:szCs w:val="28"/>
                                </w:rPr>
                              </w:pPr>
                              <w:r>
                                <w:rPr>
                                  <w:rFonts w:hint="eastAsia"/>
                                  <w:sz w:val="28"/>
                                  <w:szCs w:val="28"/>
                                </w:rPr>
                                <w:t>病案首页质控小组</w:t>
                              </w:r>
                            </w:p>
                          </w:txbxContent>
                        </wps:txbx>
                        <wps:bodyPr lIns="0" tIns="0" rIns="0" bIns="0" anchor="ctr" anchorCtr="0" upright="1"/>
                      </wps:wsp>
                      <wps:wsp>
                        <wps:cNvPr id="20" name="圆角矩形 20"/>
                        <wps:cNvSpPr/>
                        <wps:spPr>
                          <a:xfrm>
                            <a:off x="5138" y="6903"/>
                            <a:ext cx="2296" cy="242"/>
                          </a:xfrm>
                          <a:prstGeom prst="roundRect">
                            <a:avLst>
                              <a:gd name="adj" fmla="val 16667"/>
                            </a:avLst>
                          </a:prstGeom>
                          <a:noFill/>
                          <a:ln w="9525" cap="flat" cmpd="sng">
                            <a:solidFill>
                              <a:srgbClr val="000000"/>
                            </a:solidFill>
                            <a:prstDash val="solid"/>
                            <a:round/>
                            <a:headEnd type="none" w="med" len="med"/>
                            <a:tailEnd type="none" w="med" len="med"/>
                          </a:ln>
                        </wps:spPr>
                        <wps:txbx>
                          <w:txbxContent>
                            <w:p>
                              <w:pPr>
                                <w:jc w:val="center"/>
                                <w:rPr>
                                  <w:sz w:val="28"/>
                                  <w:szCs w:val="28"/>
                                </w:rPr>
                              </w:pPr>
                              <w:r>
                                <w:rPr>
                                  <w:sz w:val="28"/>
                                  <w:szCs w:val="28"/>
                                </w:rPr>
                                <w:t>DRG</w:t>
                              </w:r>
                              <w:r>
                                <w:rPr>
                                  <w:rFonts w:hint="eastAsia"/>
                                  <w:sz w:val="28"/>
                                  <w:szCs w:val="28"/>
                                </w:rPr>
                                <w:t>临床专家小组</w:t>
                              </w:r>
                            </w:p>
                          </w:txbxContent>
                        </wps:txbx>
                        <wps:bodyPr lIns="0" tIns="0" rIns="0" bIns="0" anchor="ctr" anchorCtr="0" upright="1"/>
                      </wps:wsp>
                      <wps:wsp>
                        <wps:cNvPr id="21" name="圆角矩形 21"/>
                        <wps:cNvSpPr/>
                        <wps:spPr>
                          <a:xfrm>
                            <a:off x="6408" y="7521"/>
                            <a:ext cx="563" cy="775"/>
                          </a:xfrm>
                          <a:prstGeom prst="roundRect">
                            <a:avLst>
                              <a:gd name="adj" fmla="val 16667"/>
                            </a:avLst>
                          </a:prstGeom>
                          <a:noFill/>
                          <a:ln w="9525" cap="flat" cmpd="sng">
                            <a:solidFill>
                              <a:srgbClr val="000000"/>
                            </a:solidFill>
                            <a:prstDash val="solid"/>
                            <a:round/>
                            <a:headEnd type="none" w="med" len="med"/>
                            <a:tailEnd type="none" w="med" len="med"/>
                          </a:ln>
                        </wps:spPr>
                        <wps:txbx>
                          <w:txbxContent>
                            <w:p>
                              <w:pPr>
                                <w:jc w:val="center"/>
                                <w:rPr>
                                  <w:sz w:val="28"/>
                                  <w:szCs w:val="28"/>
                                </w:rPr>
                              </w:pPr>
                              <w:r>
                                <w:rPr>
                                  <w:rFonts w:hint="eastAsia"/>
                                  <w:sz w:val="28"/>
                                  <w:szCs w:val="28"/>
                                </w:rPr>
                                <w:t>审计科</w:t>
                              </w:r>
                            </w:p>
                          </w:txbxContent>
                        </wps:txbx>
                        <wps:bodyPr vert="eaVert" lIns="0" tIns="0" rIns="0" bIns="0" anchor="ctr" anchorCtr="0" upright="1"/>
                      </wps:wsp>
                      <wps:wsp>
                        <wps:cNvPr id="22" name="圆角矩形 22"/>
                        <wps:cNvSpPr/>
                        <wps:spPr>
                          <a:xfrm>
                            <a:off x="7345" y="7521"/>
                            <a:ext cx="549" cy="775"/>
                          </a:xfrm>
                          <a:prstGeom prst="roundRect">
                            <a:avLst>
                              <a:gd name="adj" fmla="val 16667"/>
                            </a:avLst>
                          </a:prstGeom>
                          <a:noFill/>
                          <a:ln w="9525" cap="flat" cmpd="sng">
                            <a:solidFill>
                              <a:srgbClr val="000000"/>
                            </a:solidFill>
                            <a:prstDash val="solid"/>
                            <a:round/>
                            <a:headEnd type="none" w="med" len="med"/>
                            <a:tailEnd type="none" w="med" len="med"/>
                          </a:ln>
                        </wps:spPr>
                        <wps:txbx>
                          <w:txbxContent>
                            <w:p>
                              <w:pPr>
                                <w:jc w:val="center"/>
                                <w:rPr>
                                  <w:sz w:val="28"/>
                                  <w:szCs w:val="28"/>
                                </w:rPr>
                              </w:pPr>
                              <w:r>
                                <w:rPr>
                                  <w:rFonts w:hint="eastAsia"/>
                                  <w:sz w:val="28"/>
                                  <w:szCs w:val="28"/>
                                </w:rPr>
                                <w:t>社工部</w:t>
                              </w:r>
                            </w:p>
                            <w:p>
                              <w:pPr>
                                <w:jc w:val="center"/>
                                <w:rPr>
                                  <w:sz w:val="46"/>
                                  <w:szCs w:val="37"/>
                                </w:rPr>
                              </w:pPr>
                            </w:p>
                          </w:txbxContent>
                        </wps:txbx>
                        <wps:bodyPr vert="eaVert" lIns="0" tIns="0" rIns="0" bIns="0" anchor="ctr" anchorCtr="0" upright="1"/>
                      </wps:wsp>
                    </wpg:wgp>
                  </a:graphicData>
                </a:graphic>
              </wp:anchor>
            </w:drawing>
          </mc:Choice>
          <mc:Fallback>
            <w:pict>
              <v:group id="_x0000_s1026" o:spid="_x0000_s1026" o:spt="203" style="position:absolute;left:0pt;margin-left:7.1pt;margin-top:19.5pt;height:279.95pt;width:417.6pt;mso-wrap-distance-bottom:0pt;mso-wrap-distance-left:9pt;mso-wrap-distance-right:9pt;mso-wrap-distance-top:0pt;z-index:251659264;mso-width-relative:page;mso-height-relative:page;" coordorigin="1634,6304" coordsize="6260,1992" o:gfxdata="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FgAAAGRycy9QSwECFAAUAAAACACHTuJARol0NdkA&#10;AAAJAQAADwAAAAAAAAABACAAAAA4AAAAZHJzL2Rvd25yZXYueG1sUEsBAhQAFAAAAAgAh07iQNJp&#10;+hjRBQAALzIAAA4AAAAAAAAAAQAgAAAAPgEAAGRycy9lMm9Eb2MueG1sUEsFBgAAAAAGAAYAWQEA&#10;AIEJAAAAAA==&#10;">
                <o:lock v:ext="edit" aspectratio="t"/>
                <v:rect id="_x0000_s1026" o:spid="_x0000_s1026" o:spt="1" style="position:absolute;left:1634;top:6304;height:1992;width:6260;" fillcolor="#FFFFFF" filled="t" stroked="f" coordsize="21600,21600" o:gfxdata="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3CA5LoAAADaAAAADwAAAAAAAAABACAAAAA4AAAAZHJzL2Rvd25yZXYueG1s&#10;UEsBAhQAFAAAAAgAh07iQDMvBZ47AAAAOQAAABAAAAAAAAAAAQAgAAAAHwEAAGRycy9zaGFwZXht&#10;bC54bWxQSwUGAAAAAAYABgBbAQAAyQMAAAAA&#10;">
                  <v:fill on="t" focussize="0,0"/>
                  <v:stroke on="f" weight="1pt"/>
                  <v:imagedata o:title=""/>
                  <o:lock v:ext="edit" text="t" aspectratio="t"/>
                </v:rect>
                <v:shape id="_x0000_s1026" o:spid="_x0000_s1026" o:spt="34" type="#_x0000_t34" style="position:absolute;left:5693;top:5595;flip:x;height:2856;width:993;rotation:-5898240f;" filled="f" stroked="t" coordsize="21600,21600" o:gfxdata="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LZFydu4AAAA2gAAAA8AAAAAAAAAAQAgAAAAOAAAAGRycy9kb3ducmV2LnhtbFBL&#10;AQIUABQAAAAIAIdO4kAzLwWeOwAAADkAAAAQAAAAAAAAAAEAIAAAAB0BAABkcnMvc2hhcGV4bWwu&#10;eG1sUEsFBgAAAAAGAAYAWwEAAMcDAAAAAA==&#10;" adj="1184">
                  <v:fill on="f" focussize="0,0"/>
                  <v:stroke weight="2.25pt" color="#000000" joinstyle="miter"/>
                  <v:imagedata o:title=""/>
                  <o:lock v:ext="edit" aspectratio="f"/>
                </v:shape>
                <v:shape id="_x0000_s1026" o:spid="_x0000_s1026" o:spt="34" type="#_x0000_t34" style="position:absolute;left:5228;top:6060;flip:x;height:1926;width:993;rotation:-5898240f;" filled="f" stroked="t" coordsize="21600,21600" o:gfxdata="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ZCWxAuQAAANoAAAAPAAAAAAAAAAEAIAAAADgAAABkcnMvZG93bnJldi54bWxQ&#10;SwECFAAUAAAACACHTuJAMy8FnjsAAAA5AAAAEAAAAAAAAAABACAAAAAeAQAAZHJzL3NoYXBleG1s&#10;LnhtbFBLBQYAAAAABgAGAFsBAADIAwAAAAA=&#10;" adj="1184">
                  <v:fill on="f" focussize="0,0"/>
                  <v:stroke weight="2.25pt" color="#000000" joinstyle="miter"/>
                  <v:imagedata o:title=""/>
                  <o:lock v:ext="edit" aspectratio="f"/>
                </v:shape>
                <v:shape id="_x0000_s1026" o:spid="_x0000_s1026" o:spt="33" type="#_x0000_t33" style="position:absolute;left:4764;top:6528;height:496;width:374;rotation:11796480f;" filled="f" stroked="t" coordsize="21600,21600" o:gfxdata="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2ntnu7AAAA2gAAAA8AAAAAAAAAAQAgAAAAOAAAAGRycy9kb3ducmV2Lnht&#10;bFBLAQIUABQAAAAIAIdO4kAzLwWeOwAAADkAAAAQAAAAAAAAAAEAIAAAACABAABkcnMvc2hhcGV4&#10;bWwueG1sUEsFBgAAAAAGAAYAWwEAAMoDAAAAAA==&#10;">
                  <v:fill on="f" focussize="0,0"/>
                  <v:stroke weight="2.25pt" color="#000000" joinstyle="miter"/>
                  <v:imagedata o:title=""/>
                  <o:lock v:ext="edit" aspectratio="f"/>
                </v:shape>
                <v:shape id="_x0000_s1026" o:spid="_x0000_s1026" o:spt="33" type="#_x0000_t33" style="position:absolute;left:4390;top:6528;flip:y;height:497;width:374;" filled="f" stroked="t" coordsize="21600,21600" o:gfxdata="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DKWj2ptgAAANoAAAAPAAAAAAAAAAEAIAAAADgAAABkcnMvZG93bnJldi54bWxQSwEC&#10;FAAUAAAACACHTuJAMy8FnjsAAAA5AAAAEAAAAAAAAAABACAAAAAbAQAAZHJzL3NoYXBleG1sLnht&#10;bFBLBQYAAAAABgAGAFsBAADFAwAAAAA=&#10;">
                  <v:fill on="f" focussize="0,0"/>
                  <v:stroke weight="2.25pt" color="#000000" joinstyle="miter"/>
                  <v:imagedata o:title=""/>
                  <o:lock v:ext="edit" aspectratio="f"/>
                </v:shape>
                <v:shape id="_x0000_s1026" o:spid="_x0000_s1026" o:spt="34" type="#_x0000_t34" style="position:absolute;left:4758;top:6530;flip:x;height:985;width:993;rotation:-5898240f;" filled="f" stroked="t" coordsize="21600,21600" o:gfxdata="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Jfs/YuQAAANoAAAAPAAAAAAAAAAEAIAAAADgAAABkcnMvZG93bnJldi54bWxQ&#10;SwECFAAUAAAACACHTuJAMy8FnjsAAAA5AAAAEAAAAAAAAAABACAAAAAeAQAAZHJzL3NoYXBleG1s&#10;LnhtbFBLBQYAAAAABgAGAFsBAADIAwAAAAA=&#10;" adj="1184">
                  <v:fill on="f" focussize="0,0"/>
                  <v:stroke weight="2.25pt" color="#000000" joinstyle="miter"/>
                  <v:imagedata o:title=""/>
                  <o:lock v:ext="edit" aspectratio="f"/>
                </v:shape>
                <v:shape id="_x0000_s1026" o:spid="_x0000_s1026" o:spt="34" type="#_x0000_t34" style="position:absolute;left:4284;top:7004;flip:x;height:37;width:993;rotation:-5898240f;" filled="f" stroked="t" coordsize="21600,21600" o:gfxdata="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&#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KYyakO4AAAA2gAAAA8AAAAAAAAAAQAgAAAAOAAAAGRycy9kb3ducmV2LnhtbFBL&#10;AQIUABQAAAAIAIdO4kAzLwWeOwAAADkAAAAQAAAAAAAAAAEAIAAAAB0BAABkcnMvc2hhcGV4bWwu&#10;eG1sUEsFBgAAAAAGAAYAWwEAAMcDAAAAAA==&#10;" adj="1184">
                  <v:fill on="f" focussize="0,0"/>
                  <v:stroke weight="2.25pt" color="#000000" joinstyle="miter"/>
                  <v:imagedata o:title=""/>
                  <o:lock v:ext="edit" aspectratio="f"/>
                </v:shape>
                <v:shape id="_x0000_s1026" o:spid="_x0000_s1026" o:spt="34" type="#_x0000_t34" style="position:absolute;left:3807;top:6565;height:916;width:993;rotation:-5898240f;" filled="f" stroked="t" coordsize="21600,21600" o:gfxdata="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BwPAwBtgAAANoAAAAPAAAAAAAAAAEAIAAAADgAAABkcnMvZG93bnJldi54bWxQSwEC&#10;FAAUAAAACACHTuJAMy8FnjsAAAA5AAAAEAAAAAAAAAABACAAAAAbAQAAZHJzL3NoYXBleG1sLnht&#10;bFBLBQYAAAAABgAGAFsBAADFAwAAAAA=&#10;" adj="1184">
                  <v:fill on="f" focussize="0,0"/>
                  <v:stroke weight="2.25pt" color="#000000" joinstyle="miter"/>
                  <v:imagedata o:title=""/>
                  <o:lock v:ext="edit" aspectratio="f"/>
                </v:shape>
                <v:shape id="_x0000_s1026" o:spid="_x0000_s1026" o:spt="34" type="#_x0000_t34" style="position:absolute;left:3328;top:6085;height:1875;width:993;rotation:-5898240f;" filled="f" stroked="t" coordsize="21600,21600" o:gfxdata="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3Cpmr0AAADaAAAADwAAAAAAAAABACAAAAA4AAAAZHJzL2Rvd25yZXYu&#10;eG1sUEsBAhQAFAAAAAgAh07iQDMvBZ47AAAAOQAAABAAAAAAAAAAAQAgAAAAIgEAAGRycy9zaGFw&#10;ZXhtbC54bWxQSwUGAAAAAAYABgBbAQAAzAMAAAAA&#10;" adj="1184">
                  <v:fill on="f" focussize="0,0"/>
                  <v:stroke weight="2.25pt" color="#000000" joinstyle="miter"/>
                  <v:imagedata o:title=""/>
                  <o:lock v:ext="edit" aspectratio="f"/>
                </v:shape>
                <v:shape id="_x0000_s1026" o:spid="_x0000_s1026" o:spt="34" type="#_x0000_t34" style="position:absolute;left:2847;top:5605;height:2836;width:993;rotation:-5898240f;" filled="f" stroked="t" coordsize="21600,21600" o:gfxdata="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MJEtS+AAAA2wAAAA8AAAAAAAAAAQAgAAAAOAAAAGRycy9kb3ducmV2&#10;LnhtbFBLAQIUABQAAAAIAIdO4kAzLwWeOwAAADkAAAAQAAAAAAAAAAEAIAAAACMBAABkcnMvc2hh&#10;cGV4bWwueG1sUEsFBgAAAAAGAAYAWwEAAM0DAAAAAA==&#10;" adj="1184">
                  <v:fill on="f" focussize="0,0"/>
                  <v:stroke weight="2pt" color="#000000" joinstyle="miter"/>
                  <v:imagedata o:title=""/>
                  <o:lock v:ext="edit" aspectratio="f"/>
                </v:shape>
                <v:roundrect id="_x0000_s1026" o:spid="_x0000_s1026" o:spt="2" style="position:absolute;left:3616;top:6304;height:224;width:2296;v-text-anchor:middle;" filled="f" stroked="t" coordsize="21600,21600" arcsize="0.166666666666667" o:gfxdata="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RnJkDuQAAANsAAAAPAAAAAAAAAAEAIAAAADgAAABkcnMvZG93bnJldi54bWxQ&#10;SwECFAAUAAAACACHTuJAMy8FnjsAAAA5AAAAEAAAAAAAAAABACAAAAAeAQAAZHJzL3NoYXBleG1s&#10;LnhtbFBLBQYAAAAABgAGAFsBAADIAwAAAAA=&#10;">
                  <v:fill on="f" focussize="0,0"/>
                  <v:stroke color="#000000" joinstyle="round"/>
                  <v:imagedata o:title=""/>
                  <o:lock v:ext="edit" aspectratio="f"/>
                  <v:textbox inset="0mm,0mm,0mm,0mm">
                    <w:txbxContent>
                      <w:p>
                        <w:pPr>
                          <w:jc w:val="center"/>
                          <w:rPr>
                            <w:sz w:val="28"/>
                            <w:szCs w:val="28"/>
                          </w:rPr>
                        </w:pPr>
                        <w:r>
                          <w:rPr>
                            <w:sz w:val="28"/>
                            <w:szCs w:val="28"/>
                          </w:rPr>
                          <w:t>DRG</w:t>
                        </w:r>
                        <w:r>
                          <w:rPr>
                            <w:rFonts w:hint="eastAsia"/>
                            <w:sz w:val="28"/>
                            <w:szCs w:val="28"/>
                          </w:rPr>
                          <w:t>付费领导小组</w:t>
                        </w:r>
                      </w:p>
                    </w:txbxContent>
                  </v:textbox>
                </v:roundrect>
                <v:roundrect id="_x0000_s1026" o:spid="_x0000_s1026" o:spt="2" style="position:absolute;left:1634;top:7521;height:775;width:587;v-text-anchor:middle;" filled="f" stroked="t" coordsize="21600,21600" arcsize="0.166666666666667" o:gfxdata="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5XV3W7AAAA2wAAAA8AAAAAAAAAAQAgAAAAOAAAAGRycy9kb3ducmV2Lnht&#10;bFBLAQIUABQAAAAIAIdO4kAzLwWeOwAAADkAAAAQAAAAAAAAAAEAIAAAACABAABkcnMvc2hhcGV4&#10;bWwueG1sUEsFBgAAAAAGAAYAWwEAAMoDAAAAAA==&#10;">
                  <v:fill on="f" focussize="0,0"/>
                  <v:stroke color="#000000" joinstyle="round"/>
                  <v:imagedata o:title=""/>
                  <o:lock v:ext="edit" aspectratio="f"/>
                  <v:textbox inset="0mm,0mm,0mm,0mm" style="layout-flow:vertical-ideographic;">
                    <w:txbxContent>
                      <w:p>
                        <w:pPr>
                          <w:jc w:val="center"/>
                          <w:rPr>
                            <w:sz w:val="28"/>
                            <w:szCs w:val="28"/>
                          </w:rPr>
                        </w:pPr>
                        <w:r>
                          <w:rPr>
                            <w:rFonts w:hint="eastAsia"/>
                            <w:sz w:val="28"/>
                            <w:szCs w:val="28"/>
                          </w:rPr>
                          <w:t>医务部</w:t>
                        </w:r>
                      </w:p>
                    </w:txbxContent>
                  </v:textbox>
                </v:roundrect>
                <v:roundrect id="_x0000_s1026" o:spid="_x0000_s1026" o:spt="2" style="position:absolute;left:2595;top:7521;height:775;width:588;v-text-anchor:middle;" filled="f" stroked="t" coordsize="21600,21600" arcsize="0.166666666666667" o:gfxdata="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BG/LuvAAAANsAAAAPAAAAAAAAAAEAIAAAADgAAABkcnMvZG93bnJldi54&#10;bWxQSwECFAAUAAAACACHTuJAMy8FnjsAAAA5AAAAEAAAAAAAAAABACAAAAAhAQAAZHJzL3NoYXBl&#10;eG1sLnhtbFBLBQYAAAAABgAGAFsBAADLAwAAAAA=&#10;">
                  <v:fill on="f" focussize="0,0"/>
                  <v:stroke color="#000000" joinstyle="round"/>
                  <v:imagedata o:title=""/>
                  <o:lock v:ext="edit" aspectratio="f"/>
                  <v:textbox inset="0mm,0mm,0mm,0mm" style="layout-flow:vertical-ideographic;">
                    <w:txbxContent>
                      <w:p>
                        <w:pPr>
                          <w:jc w:val="center"/>
                          <w:rPr>
                            <w:sz w:val="28"/>
                            <w:szCs w:val="28"/>
                          </w:rPr>
                        </w:pPr>
                        <w:r>
                          <w:rPr>
                            <w:rFonts w:hint="eastAsia"/>
                            <w:sz w:val="28"/>
                            <w:szCs w:val="28"/>
                          </w:rPr>
                          <w:t>质管科</w:t>
                        </w:r>
                        <w:r>
                          <w:rPr>
                            <w:sz w:val="28"/>
                            <w:szCs w:val="28"/>
                          </w:rPr>
                          <w:t>&lt;</w:t>
                        </w:r>
                        <w:r>
                          <w:rPr>
                            <w:rFonts w:hint="eastAsia"/>
                            <w:sz w:val="28"/>
                            <w:szCs w:val="28"/>
                          </w:rPr>
                          <w:t>病案科</w:t>
                        </w:r>
                        <w:r>
                          <w:rPr>
                            <w:sz w:val="28"/>
                            <w:szCs w:val="28"/>
                          </w:rPr>
                          <w:t>&gt;</w:t>
                        </w:r>
                      </w:p>
                    </w:txbxContent>
                  </v:textbox>
                </v:roundrect>
                <v:roundrect id="_x0000_s1026" o:spid="_x0000_s1026" o:spt="2" style="position:absolute;left:3557;top:7521;height:775;width:582;v-text-anchor:middle;" filled="f" stroked="t" coordsize="21600,21600" arcsize="0.166666666666667" o:gfxdata="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O8mqavAAAANsAAAAPAAAAAAAAAAEAIAAAADgAAABkcnMvZG93bnJldi54&#10;bWxQSwECFAAUAAAACACHTuJAMy8FnjsAAAA5AAAAEAAAAAAAAAABACAAAAAhAQAAZHJzL3NoYXBl&#10;eG1sLnhtbFBLBQYAAAAABgAGAFsBAADLAwAAAAA=&#10;">
                  <v:fill on="f" focussize="0,0"/>
                  <v:stroke color="#000000" joinstyle="round"/>
                  <v:imagedata o:title=""/>
                  <o:lock v:ext="edit" aspectratio="f"/>
                  <v:textbox inset="0mm,0mm,0mm,0mm" style="layout-flow:vertical-ideographic;">
                    <w:txbxContent>
                      <w:p>
                        <w:pPr>
                          <w:jc w:val="center"/>
                          <w:rPr>
                            <w:sz w:val="28"/>
                            <w:szCs w:val="28"/>
                          </w:rPr>
                        </w:pPr>
                        <w:r>
                          <w:rPr>
                            <w:rFonts w:hint="eastAsia"/>
                            <w:sz w:val="28"/>
                            <w:szCs w:val="28"/>
                          </w:rPr>
                          <w:t>信息管理中心</w:t>
                        </w:r>
                      </w:p>
                    </w:txbxContent>
                  </v:textbox>
                </v:roundrect>
                <v:roundrect id="_x0000_s1026" o:spid="_x0000_s1026" o:spt="2" style="position:absolute;left:4513;top:7521;height:775;width:577;v-text-anchor:middle;" filled="f" stroked="t" coordsize="21600,21600" arcsize="0.166666666666667" o:gfxdata="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hvs8BvAAAANsAAAAPAAAAAAAAAAEAIAAAADgAAABkcnMvZG93bnJldi54&#10;bWxQSwECFAAUAAAACACHTuJAMy8FnjsAAAA5AAAAEAAAAAAAAAABACAAAAAhAQAAZHJzL3NoYXBl&#10;eG1sLnhtbFBLBQYAAAAABgAGAFsBAADLAwAAAAA=&#10;">
                  <v:fill on="f" focussize="0,0"/>
                  <v:stroke color="#000000" joinstyle="round"/>
                  <v:imagedata o:title=""/>
                  <o:lock v:ext="edit" aspectratio="f"/>
                  <v:textbox inset="0mm,0mm,0mm,0mm" style="layout-flow:vertical-ideographic;">
                    <w:txbxContent>
                      <w:p>
                        <w:pPr>
                          <w:jc w:val="center"/>
                          <w:rPr>
                            <w:sz w:val="28"/>
                            <w:szCs w:val="28"/>
                          </w:rPr>
                        </w:pPr>
                        <w:r>
                          <w:rPr>
                            <w:rFonts w:hint="eastAsia"/>
                            <w:sz w:val="28"/>
                            <w:szCs w:val="28"/>
                          </w:rPr>
                          <w:t>医保办</w:t>
                        </w:r>
                      </w:p>
                    </w:txbxContent>
                  </v:textbox>
                </v:roundrect>
                <v:roundrect id="_x0000_s1026" o:spid="_x0000_s1026" o:spt="2" style="position:absolute;left:5464;top:7521;height:775;width:570;v-text-anchor:middle;" filled="f" stroked="t" coordsize="21600,21600" arcsize="0.166666666666667" o:gfxdata="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RbFF2vAAAANsAAAAPAAAAAAAAAAEAIAAAADgAAABkcnMvZG93bnJldi54&#10;bWxQSwECFAAUAAAACACHTuJAMy8FnjsAAAA5AAAAEAAAAAAAAAABACAAAAAhAQAAZHJzL3NoYXBl&#10;eG1sLnhtbFBLBQYAAAAABgAGAFsBAADLAwAAAAA=&#10;">
                  <v:fill on="f" focussize="0,0"/>
                  <v:stroke color="#000000" joinstyle="round"/>
                  <v:imagedata o:title=""/>
                  <o:lock v:ext="edit" aspectratio="f"/>
                  <v:textbox inset="0mm,0mm,0mm,0mm" style="layout-flow:vertical-ideographic;">
                    <w:txbxContent>
                      <w:p>
                        <w:pPr>
                          <w:jc w:val="center"/>
                          <w:rPr>
                            <w:sz w:val="28"/>
                            <w:szCs w:val="28"/>
                          </w:rPr>
                        </w:pPr>
                        <w:r>
                          <w:rPr>
                            <w:rFonts w:hint="eastAsia"/>
                            <w:sz w:val="28"/>
                            <w:szCs w:val="28"/>
                          </w:rPr>
                          <w:t>财务科</w:t>
                        </w:r>
                      </w:p>
                    </w:txbxContent>
                  </v:textbox>
                </v:roundrect>
                <v:roundrect id="_x0000_s1026" o:spid="_x0000_s1026" o:spt="2" style="position:absolute;left:2094;top:6903;height:243;width:2296;v-text-anchor:middle;" filled="f" stroked="t" coordsize="21600,21600" arcsize="0.166666666666667" o:gfxdata="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&#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DE5pOy4AAAA2wAAAA8AAAAAAAAAAQAgAAAAOAAAAGRycy9kb3ducmV2LnhtbFBL&#10;AQIUABQAAAAIAIdO4kAzLwWeOwAAADkAAAAQAAAAAAAAAAEAIAAAAB0BAABkcnMvc2hhcGV4bWwu&#10;eG1sUEsFBgAAAAAGAAYAWwEAAMcDAAAAAA==&#10;">
                  <v:fill on="f" focussize="0,0"/>
                  <v:stroke color="#000000" joinstyle="round"/>
                  <v:imagedata o:title=""/>
                  <o:lock v:ext="edit" aspectratio="f"/>
                  <v:textbox inset="0mm,0mm,0mm,0mm">
                    <w:txbxContent>
                      <w:p>
                        <w:pPr>
                          <w:jc w:val="center"/>
                          <w:rPr>
                            <w:sz w:val="28"/>
                            <w:szCs w:val="28"/>
                          </w:rPr>
                        </w:pPr>
                        <w:r>
                          <w:rPr>
                            <w:rFonts w:hint="eastAsia"/>
                            <w:sz w:val="28"/>
                            <w:szCs w:val="28"/>
                          </w:rPr>
                          <w:t>病案首页质控小组</w:t>
                        </w:r>
                      </w:p>
                    </w:txbxContent>
                  </v:textbox>
                </v:roundrect>
                <v:roundrect id="_x0000_s1026" o:spid="_x0000_s1026" o:spt="2" style="position:absolute;left:5138;top:6903;height:242;width:2296;v-text-anchor:middle;" filled="f" stroked="t" coordsize="21600,21600" arcsize="0.166666666666667" o:gfxdata="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KYwnr0AAADbAAAADwAAAAAAAAABACAAAAA4AAAAZHJzL2Rvd25yZXYu&#10;eG1sUEsBAhQAFAAAAAgAh07iQDMvBZ47AAAAOQAAABAAAAAAAAAAAQAgAAAAIgEAAGRycy9zaGFw&#10;ZXhtbC54bWxQSwUGAAAAAAYABgBbAQAAzAMAAAAA&#10;">
                  <v:fill on="f" focussize="0,0"/>
                  <v:stroke color="#000000" joinstyle="round"/>
                  <v:imagedata o:title=""/>
                  <o:lock v:ext="edit" aspectratio="f"/>
                  <v:textbox inset="0mm,0mm,0mm,0mm">
                    <w:txbxContent>
                      <w:p>
                        <w:pPr>
                          <w:jc w:val="center"/>
                          <w:rPr>
                            <w:sz w:val="28"/>
                            <w:szCs w:val="28"/>
                          </w:rPr>
                        </w:pPr>
                        <w:r>
                          <w:rPr>
                            <w:sz w:val="28"/>
                            <w:szCs w:val="28"/>
                          </w:rPr>
                          <w:t>DRG</w:t>
                        </w:r>
                        <w:r>
                          <w:rPr>
                            <w:rFonts w:hint="eastAsia"/>
                            <w:sz w:val="28"/>
                            <w:szCs w:val="28"/>
                          </w:rPr>
                          <w:t>临床专家小组</w:t>
                        </w:r>
                      </w:p>
                    </w:txbxContent>
                  </v:textbox>
                </v:roundrect>
                <v:roundrect id="_x0000_s1026" o:spid="_x0000_s1026" o:spt="2" style="position:absolute;left:6408;top:7521;height:775;width:563;v-text-anchor:middle;" filled="f" stroked="t" coordsize="21600,21600" arcsize="0.166666666666667" o:gfxdata="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DzxQS7AAAA2wAAAA8AAAAAAAAAAQAgAAAAOAAAAGRycy9kb3ducmV2Lnht&#10;bFBLAQIUABQAAAAIAIdO4kAzLwWeOwAAADkAAAAQAAAAAAAAAAEAIAAAACABAABkcnMvc2hhcGV4&#10;bWwueG1sUEsFBgAAAAAGAAYAWwEAAMoDAAAAAA==&#10;">
                  <v:fill on="f" focussize="0,0"/>
                  <v:stroke color="#000000" joinstyle="round"/>
                  <v:imagedata o:title=""/>
                  <o:lock v:ext="edit" aspectratio="f"/>
                  <v:textbox inset="0mm,0mm,0mm,0mm" style="layout-flow:vertical-ideographic;">
                    <w:txbxContent>
                      <w:p>
                        <w:pPr>
                          <w:jc w:val="center"/>
                          <w:rPr>
                            <w:sz w:val="28"/>
                            <w:szCs w:val="28"/>
                          </w:rPr>
                        </w:pPr>
                        <w:r>
                          <w:rPr>
                            <w:rFonts w:hint="eastAsia"/>
                            <w:sz w:val="28"/>
                            <w:szCs w:val="28"/>
                          </w:rPr>
                          <w:t>审计科</w:t>
                        </w:r>
                      </w:p>
                    </w:txbxContent>
                  </v:textbox>
                </v:roundrect>
                <v:roundrect id="_x0000_s1026" o:spid="_x0000_s1026" o:spt="2" style="position:absolute;left:7345;top:7521;height:775;width:549;v-text-anchor:middle;" filled="f" stroked="t" coordsize="21600,21600" arcsize="0.166666666666667" o:gfxdata="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f6WmJLcAAADbAAAADwAAAAAAAAABACAAAAA4AAAAZHJzL2Rvd25yZXYueG1sUEsB&#10;AhQAFAAAAAgAh07iQDMvBZ47AAAAOQAAABAAAAAAAAAAAQAgAAAAHAEAAGRycy9zaGFwZXhtbC54&#10;bWxQSwUGAAAAAAYABgBbAQAAxgMAAAAA&#10;">
                  <v:fill on="f" focussize="0,0"/>
                  <v:stroke color="#000000" joinstyle="round"/>
                  <v:imagedata o:title=""/>
                  <o:lock v:ext="edit" aspectratio="f"/>
                  <v:textbox inset="0mm,0mm,0mm,0mm" style="layout-flow:vertical-ideographic;">
                    <w:txbxContent>
                      <w:p>
                        <w:pPr>
                          <w:jc w:val="center"/>
                          <w:rPr>
                            <w:sz w:val="28"/>
                            <w:szCs w:val="28"/>
                          </w:rPr>
                        </w:pPr>
                        <w:r>
                          <w:rPr>
                            <w:rFonts w:hint="eastAsia"/>
                            <w:sz w:val="28"/>
                            <w:szCs w:val="28"/>
                          </w:rPr>
                          <w:t>社工部</w:t>
                        </w:r>
                      </w:p>
                      <w:p>
                        <w:pPr>
                          <w:jc w:val="center"/>
                          <w:rPr>
                            <w:sz w:val="46"/>
                            <w:szCs w:val="37"/>
                          </w:rPr>
                        </w:pPr>
                      </w:p>
                    </w:txbxContent>
                  </v:textbox>
                </v:roundrect>
                <w10:wrap type="square"/>
              </v:group>
            </w:pict>
          </mc:Fallback>
        </mc:AlternateContent>
      </w:r>
      <w:r>
        <w:rPr>
          <w:rFonts w:hint="eastAsia" w:ascii="黑体" w:hAnsi="黑体" w:eastAsia="黑体" w:cs="黑体"/>
          <w:b w:val="0"/>
          <w:bCs w:val="0"/>
          <w:color w:val="000000"/>
          <w:kern w:val="2"/>
          <w:sz w:val="32"/>
          <w:szCs w:val="32"/>
          <w:lang w:val="en-US" w:eastAsia="zh-CN" w:bidi="ar-SA"/>
        </w:rPr>
        <w:t>图1 医院DRG付费工作组织架构</w:t>
      </w:r>
    </w:p>
    <w:p>
      <w:pPr>
        <w:pStyle w:val="3"/>
        <w:keepNext w:val="0"/>
        <w:keepLines w:val="0"/>
        <w:pageBreakBefore w:val="0"/>
        <w:kinsoku/>
        <w:wordWrap/>
        <w:overflowPunct/>
        <w:topLinePunct w:val="0"/>
        <w:bidi w:val="0"/>
        <w:adjustRightInd/>
        <w:snapToGrid/>
        <w:spacing w:before="55" w:line="590" w:lineRule="exact"/>
        <w:ind w:left="106"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（二）躬行实践，形成闭环管理</w:t>
      </w:r>
    </w:p>
    <w:p>
      <w:pPr>
        <w:pStyle w:val="3"/>
        <w:keepNext w:val="0"/>
        <w:keepLines w:val="0"/>
        <w:pageBreakBefore w:val="0"/>
        <w:kinsoku/>
        <w:wordWrap/>
        <w:overflowPunct/>
        <w:topLinePunct w:val="0"/>
        <w:bidi w:val="0"/>
        <w:adjustRightInd/>
        <w:snapToGrid/>
        <w:spacing w:before="55" w:line="590" w:lineRule="exact"/>
        <w:ind w:left="106"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DRG付费工作领导小组每两月召开专家研讨会，临床专家小组每月组织科室反馈与建议座谈会，依据DRG付费</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医疗成本管控和运营管理的现实需要，明确各疾病诊断相关分组相应医疗活动所需要的时间、费用、药品、耗材等关键因素，以优化资源消耗和提高临床效率为目标，建立病种资源消耗模型，完善临床路径管理，对患者在诊疗中的资源消耗进行有效管控和引导，不断调整资源消耗模型，形成完善的闭环管理，探索医院精细化运营发展道路。</w:t>
      </w:r>
    </w:p>
    <w:p>
      <w:pPr>
        <w:pStyle w:val="3"/>
        <w:keepNext w:val="0"/>
        <w:keepLines w:val="0"/>
        <w:pageBreakBefore w:val="0"/>
        <w:kinsoku/>
        <w:wordWrap/>
        <w:overflowPunct/>
        <w:topLinePunct w:val="0"/>
        <w:bidi w:val="0"/>
        <w:adjustRightInd/>
        <w:snapToGrid/>
        <w:spacing w:before="55" w:line="590" w:lineRule="exact"/>
        <w:ind w:left="106"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（三）条修叶贯，保障数据质量</w:t>
      </w:r>
    </w:p>
    <w:p>
      <w:pPr>
        <w:pStyle w:val="3"/>
        <w:keepNext w:val="0"/>
        <w:keepLines w:val="0"/>
        <w:pageBreakBefore w:val="0"/>
        <w:kinsoku/>
        <w:wordWrap/>
        <w:overflowPunct/>
        <w:topLinePunct w:val="0"/>
        <w:bidi w:val="0"/>
        <w:adjustRightInd/>
        <w:snapToGrid/>
        <w:spacing w:before="55" w:line="590" w:lineRule="exact"/>
        <w:ind w:left="106"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CHS-DRG分组方案1.0修订版，自主开发医院DRG模拟分组器（Z-DRG），实现DRG院内高精准模拟分组。依靠DRG付费工作小组、专科编码质控联动机制，全面促进病案与临床工作交流，完成医保结算清单接口改造，强化病案首页数据质量，指导临床、病案管理人员应用DRG工具，提高科室工作质量与工作效率。建立DRG运营管理系统，分析在院和出院病例DRG入组情况、各科室运营情况，定期发布DRG入组错误病例及原因分析，</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纠正，提升病案首页质量和诊断手术选择正确率。</w:t>
      </w:r>
    </w:p>
    <w:p>
      <w:pPr>
        <w:pStyle w:val="3"/>
        <w:keepNext w:val="0"/>
        <w:keepLines w:val="0"/>
        <w:pageBreakBefore w:val="0"/>
        <w:kinsoku/>
        <w:wordWrap/>
        <w:overflowPunct/>
        <w:topLinePunct w:val="0"/>
        <w:bidi w:val="0"/>
        <w:adjustRightInd/>
        <w:snapToGrid/>
        <w:spacing w:before="55" w:line="590" w:lineRule="exact"/>
        <w:ind w:left="106"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（四）精准分析，细化成本控制</w:t>
      </w:r>
    </w:p>
    <w:p>
      <w:pPr>
        <w:pStyle w:val="3"/>
        <w:keepNext w:val="0"/>
        <w:keepLines w:val="0"/>
        <w:pageBreakBefore w:val="0"/>
        <w:kinsoku/>
        <w:wordWrap/>
        <w:overflowPunct/>
        <w:topLinePunct w:val="0"/>
        <w:bidi w:val="0"/>
        <w:adjustRightInd/>
        <w:snapToGrid/>
        <w:spacing w:before="55" w:line="590" w:lineRule="exact"/>
        <w:ind w:left="106"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DRG指标（CMI值、总权重数等）纳入临床科室绩效考核及二次分配，制定临床路径，严格控制作业成本。临床科室建立科级、医疗组两级管控，通过成本核算及收支平衡监控，找出不同科室的具体超标DRG病组，细分超标病组，结合DRG病组历史诊疗数据，组织专家论证，重新构建临床路径，实施更加精细的全过程病种管理。通过成本分析，找出波动较大、增长较快、可控性较强的病种开展深入分析和重点管控，调整可进行日间病房收治、可下转基层医院的病种，进一步降低医疗成本。</w:t>
      </w:r>
    </w:p>
    <w:p>
      <w:pPr>
        <w:pStyle w:val="3"/>
        <w:keepNext w:val="0"/>
        <w:keepLines w:val="0"/>
        <w:pageBreakBefore w:val="0"/>
        <w:kinsoku/>
        <w:wordWrap/>
        <w:overflowPunct/>
        <w:topLinePunct w:val="0"/>
        <w:bidi w:val="0"/>
        <w:adjustRightInd/>
        <w:snapToGrid/>
        <w:spacing w:before="55" w:line="590" w:lineRule="exact"/>
        <w:ind w:left="106" w:firstLine="640" w:firstLineChars="200"/>
        <w:jc w:val="both"/>
        <w:textAlignment w:val="auto"/>
        <w:rPr>
          <w:rFonts w:hint="eastAsia" w:ascii="楷体_GB2312" w:hAnsi="楷体_GB2312" w:eastAsia="楷体_GB2312" w:cs="楷体_GB2312"/>
          <w:sz w:val="32"/>
          <w:szCs w:val="32"/>
          <w:highlight w:val="yellow"/>
        </w:rPr>
      </w:pPr>
      <w:r>
        <w:rPr>
          <w:rFonts w:hint="eastAsia" w:ascii="楷体_GB2312" w:hAnsi="楷体_GB2312" w:eastAsia="楷体_GB2312" w:cs="楷体_GB2312"/>
          <w:sz w:val="32"/>
          <w:szCs w:val="32"/>
        </w:rPr>
        <w:t>（五）提质增效，优化质量管理</w:t>
      </w:r>
    </w:p>
    <w:p>
      <w:pPr>
        <w:pStyle w:val="3"/>
        <w:keepNext w:val="0"/>
        <w:keepLines w:val="0"/>
        <w:pageBreakBefore w:val="0"/>
        <w:kinsoku/>
        <w:wordWrap/>
        <w:overflowPunct/>
        <w:topLinePunct w:val="0"/>
        <w:bidi w:val="0"/>
        <w:adjustRightInd/>
        <w:snapToGrid/>
        <w:spacing w:before="55" w:line="590" w:lineRule="exact"/>
        <w:ind w:left="106"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依据“DRG分组、DRG付费、DRG绩效”的三条路径，实施全面首页质量管理、全面药耗合理管控、全面绩效考核机制，建立诊断与手术操作填写标准化、诊断与手术操作编码精准化、DRG入组精细化三道防线，构建常态化、制度化的质量管理体系。基于DRG分组结果与病案首页数据信息，每月定期编撰DRG数据分析综合报告及40余个专科分析报告，为专科执行DRG付费工作提供及时的数据监测结果，规避异常倍率、支付异常、诊断手术不合理等病例信息，为医院医疗质量管理、医疗行为监测提供重要数据参考。定期统计分析各病种下的病例情况，对比专病标准资源消耗指数，锁定偏差点，深入分析原因，按产生偏差的不同原因采取相应的管理举措，持续优化资源消耗模型及消耗标准，为医院运营发展提供重点信息参考。</w:t>
      </w:r>
    </w:p>
    <w:p>
      <w:pPr>
        <w:pStyle w:val="3"/>
        <w:keepNext w:val="0"/>
        <w:keepLines w:val="0"/>
        <w:pageBreakBefore w:val="0"/>
        <w:kinsoku/>
        <w:wordWrap/>
        <w:overflowPunct/>
        <w:topLinePunct w:val="0"/>
        <w:bidi w:val="0"/>
        <w:adjustRightInd/>
        <w:snapToGrid/>
        <w:spacing w:before="55" w:line="59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、实施效果</w:t>
      </w:r>
    </w:p>
    <w:p>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rPr>
      </w:pPr>
      <w:bookmarkStart w:id="1" w:name="_Hlk90501036"/>
      <w:r>
        <w:rPr>
          <w:rFonts w:hint="eastAsia" w:ascii="楷体_GB2312" w:hAnsi="楷体_GB2312" w:eastAsia="楷体_GB2312" w:cs="楷体_GB2312"/>
          <w:sz w:val="32"/>
          <w:szCs w:val="32"/>
        </w:rPr>
        <w:t>（一）提高医疗服务质量</w:t>
      </w:r>
      <w:bookmarkEnd w:id="1"/>
    </w:p>
    <w:p>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以病案首页质量管控为核心，利用数据分析，将患者的治疗活动和所发生的费用相统一，对医院间、科室间、医生间的医疗服务开展数据分析比对，逐步完善诊疗工作。</w:t>
      </w:r>
      <w:r>
        <w:rPr>
          <w:rFonts w:hint="eastAsia" w:ascii="仿宋_GB2312" w:hAnsi="仿宋_GB2312" w:eastAsia="仿宋_GB2312" w:cs="仿宋_GB2312"/>
          <w:b w:val="0"/>
          <w:bCs/>
          <w:sz w:val="32"/>
          <w:szCs w:val="32"/>
        </w:rPr>
        <w:t>2021年1-10月</w:t>
      </w:r>
      <w:r>
        <w:rPr>
          <w:rFonts w:hint="eastAsia" w:ascii="仿宋_GB2312" w:hAnsi="仿宋_GB2312" w:eastAsia="仿宋_GB2312" w:cs="仿宋_GB2312"/>
          <w:b w:val="0"/>
          <w:bCs/>
          <w:sz w:val="32"/>
          <w:szCs w:val="32"/>
          <w:lang w:val="en-US" w:eastAsia="zh-CN"/>
        </w:rPr>
        <w:t>医院</w:t>
      </w:r>
      <w:r>
        <w:rPr>
          <w:rFonts w:hint="eastAsia" w:ascii="仿宋_GB2312" w:hAnsi="仿宋_GB2312" w:eastAsia="仿宋_GB2312" w:cs="仿宋_GB2312"/>
          <w:b w:val="0"/>
          <w:bCs/>
          <w:sz w:val="32"/>
          <w:szCs w:val="32"/>
        </w:rPr>
        <w:t>DRG入组准确率从77.79%提升至88.63%，主要诊断选择正确率从74.11%提升至89.43%，主要手术选择正确率从84.53%提升至89.75%，</w:t>
      </w:r>
      <w:r>
        <w:rPr>
          <w:rFonts w:hint="eastAsia" w:ascii="仿宋_GB2312" w:hAnsi="仿宋_GB2312" w:eastAsia="仿宋_GB2312" w:cs="仿宋_GB2312"/>
          <w:bCs/>
          <w:sz w:val="32"/>
          <w:szCs w:val="32"/>
        </w:rPr>
        <w:t>保障医疗质量和医疗安全。</w:t>
      </w:r>
    </w:p>
    <w:p>
      <w:pPr>
        <w:keepNext w:val="0"/>
        <w:keepLines w:val="0"/>
        <w:pageBreakBefore w:val="0"/>
        <w:kinsoku/>
        <w:wordWrap/>
        <w:overflowPunct/>
        <w:topLinePunct w:val="0"/>
        <w:bidi w:val="0"/>
        <w:adjustRightInd/>
        <w:snapToGrid/>
        <w:spacing w:line="590" w:lineRule="exact"/>
        <w:ind w:firstLine="0" w:firstLineChars="0"/>
        <w:jc w:val="both"/>
        <w:textAlignment w:val="auto"/>
        <w:rPr>
          <w:rFonts w:hint="eastAsia" w:ascii="黑体" w:hAnsi="黑体" w:eastAsia="黑体" w:cs="黑体"/>
          <w:b w:val="0"/>
          <w:bCs w:val="0"/>
          <w:color w:val="000000"/>
          <w:kern w:val="2"/>
          <w:sz w:val="32"/>
          <w:szCs w:val="32"/>
          <w:lang w:val="en-US" w:eastAsia="zh-CN"/>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9525</wp:posOffset>
            </wp:positionH>
            <wp:positionV relativeFrom="paragraph">
              <wp:posOffset>83820</wp:posOffset>
            </wp:positionV>
            <wp:extent cx="5629275" cy="1964055"/>
            <wp:effectExtent l="0" t="0" r="9525" b="17145"/>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a:stretch>
                      <a:fillRect/>
                    </a:stretch>
                  </pic:blipFill>
                  <pic:spPr>
                    <a:xfrm>
                      <a:off x="0" y="0"/>
                      <a:ext cx="5629275" cy="1964055"/>
                    </a:xfrm>
                    <a:prstGeom prst="rect">
                      <a:avLst/>
                    </a:prstGeom>
                    <a:noFill/>
                    <a:ln>
                      <a:noFill/>
                    </a:ln>
                  </pic:spPr>
                </pic:pic>
              </a:graphicData>
            </a:graphic>
          </wp:anchor>
        </w:draw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val="0"/>
          <w:color w:val="000000"/>
          <w:kern w:val="2"/>
          <w:sz w:val="32"/>
          <w:szCs w:val="32"/>
          <w:lang w:val="en-US" w:eastAsia="zh-CN"/>
        </w:rPr>
        <w:t>图2 主要诊断选择正确率及主要手术选择正确率变化情况</w:t>
      </w:r>
    </w:p>
    <w:p>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（二）优化收治病种结构</w:t>
      </w:r>
    </w:p>
    <w:p>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w:t>
      </w:r>
      <w:r>
        <w:rPr>
          <w:rFonts w:hint="eastAsia" w:ascii="仿宋_GB2312" w:hAnsi="仿宋_GB2312" w:eastAsia="仿宋_GB2312" w:cs="仿宋_GB2312"/>
          <w:sz w:val="32"/>
          <w:szCs w:val="32"/>
          <w:lang w:eastAsia="zh-CN"/>
        </w:rPr>
        <w:t>医院</w:t>
      </w:r>
      <w:r>
        <w:rPr>
          <w:rFonts w:hint="eastAsia" w:ascii="仿宋_GB2312" w:hAnsi="仿宋_GB2312" w:eastAsia="仿宋_GB2312" w:cs="仿宋_GB2312"/>
          <w:sz w:val="32"/>
          <w:szCs w:val="32"/>
        </w:rPr>
        <w:t>已初步构建基于DRG的医院运营精细化管理体系，建立DRG信息全流程闭环管理系统。</w:t>
      </w:r>
      <w:r>
        <w:rPr>
          <w:rFonts w:hint="eastAsia" w:ascii="仿宋_GB2312" w:hAnsi="仿宋_GB2312" w:eastAsia="仿宋_GB2312" w:cs="仿宋_GB2312"/>
          <w:sz w:val="32"/>
          <w:szCs w:val="32"/>
          <w:lang w:val="en-US" w:eastAsia="zh-CN"/>
        </w:rPr>
        <w:t>借助</w:t>
      </w:r>
      <w:r>
        <w:rPr>
          <w:rFonts w:hint="eastAsia" w:ascii="仿宋_GB2312" w:hAnsi="仿宋_GB2312" w:eastAsia="仿宋_GB2312" w:cs="仿宋_GB2312"/>
          <w:sz w:val="32"/>
          <w:szCs w:val="32"/>
        </w:rPr>
        <w:t>DRG管理工具，</w:t>
      </w:r>
      <w:r>
        <w:rPr>
          <w:rFonts w:hint="eastAsia" w:ascii="仿宋_GB2312" w:hAnsi="仿宋_GB2312" w:eastAsia="仿宋_GB2312" w:cs="仿宋_GB2312"/>
          <w:sz w:val="32"/>
          <w:szCs w:val="32"/>
          <w:lang w:eastAsia="zh-CN"/>
        </w:rPr>
        <w:t>医院</w:t>
      </w:r>
      <w:r>
        <w:rPr>
          <w:rFonts w:hint="eastAsia" w:ascii="仿宋_GB2312" w:hAnsi="仿宋_GB2312" w:eastAsia="仿宋_GB2312" w:cs="仿宋_GB2312"/>
          <w:sz w:val="32"/>
          <w:szCs w:val="32"/>
        </w:rPr>
        <w:t>2021年10月</w:t>
      </w:r>
      <w:r>
        <w:rPr>
          <w:rFonts w:hint="eastAsia" w:ascii="仿宋_GB2312" w:hAnsi="仿宋_GB2312" w:eastAsia="仿宋_GB2312" w:cs="仿宋_GB2312"/>
          <w:b w:val="0"/>
          <w:bCs w:val="0"/>
          <w:sz w:val="32"/>
          <w:szCs w:val="32"/>
        </w:rPr>
        <w:t>CMI值（病例组合指数）上涨0.77，RW≥2 (疑难重症) 占比明显提高，</w:t>
      </w:r>
      <w:r>
        <w:rPr>
          <w:rFonts w:hint="eastAsia" w:ascii="仿宋_GB2312" w:hAnsi="仿宋_GB2312" w:eastAsia="仿宋_GB2312" w:cs="仿宋_GB2312"/>
          <w:sz w:val="32"/>
          <w:szCs w:val="32"/>
        </w:rPr>
        <w:t>医院收治复杂病种增多，诊疗质量显著提高。实现医疗诊治抓大放小，控制小病种（低权重病组）比例，提高大病种（高权重病组）比例，有效地调整了医院收治病种的结构，有效地促进了医院建立以快速救治中心为代表的急危重症一体化救治体系，探索DRG支付下的分级诊疗制度。</w:t>
      </w:r>
    </w:p>
    <w:p>
      <w:pPr>
        <w:keepNext w:val="0"/>
        <w:keepLines w:val="0"/>
        <w:pageBreakBefore w:val="0"/>
        <w:kinsoku/>
        <w:wordWrap/>
        <w:overflowPunct/>
        <w:topLinePunct w:val="0"/>
        <w:bidi w:val="0"/>
        <w:adjustRightInd/>
        <w:snapToGrid/>
        <w:spacing w:line="590" w:lineRule="exact"/>
        <w:jc w:val="center"/>
        <w:textAlignment w:val="auto"/>
        <w:rPr>
          <w:rFonts w:hint="eastAsia" w:ascii="仿宋_GB2312" w:hAnsi="仿宋_GB2312" w:eastAsia="仿宋_GB2312" w:cs="仿宋_GB2312"/>
          <w:b/>
          <w:sz w:val="32"/>
          <w:szCs w:val="32"/>
        </w:rPr>
      </w:pPr>
      <w:r>
        <w:rPr>
          <w:rFonts w:hint="eastAsia" w:ascii="黑体" w:hAnsi="黑体" w:eastAsia="黑体" w:cs="黑体"/>
          <w:b w:val="0"/>
          <w:bCs w:val="0"/>
          <w:color w:val="000000"/>
          <w:kern w:val="2"/>
          <w:sz w:val="32"/>
          <w:szCs w:val="32"/>
          <w:lang w:val="en-US" w:eastAsia="zh-CN" w:bidi="ar-SA"/>
        </w:rPr>
        <w:t>表1  DRG实施情况</w:t>
      </w:r>
    </w:p>
    <w:tbl>
      <w:tblPr>
        <w:tblStyle w:val="5"/>
        <w:tblW w:w="4894" w:type="pct"/>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6"/>
        <w:gridCol w:w="2905"/>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00" w:type="pct"/>
            <w:noWrap w:val="0"/>
            <w:vAlign w:val="top"/>
          </w:tcPr>
          <w:p>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eastAsia" w:ascii="黑体" w:hAnsi="黑体" w:eastAsia="黑体" w:cs="黑体"/>
                <w:b w:val="0"/>
                <w:bCs/>
                <w:sz w:val="32"/>
                <w:szCs w:val="32"/>
              </w:rPr>
            </w:pPr>
          </w:p>
        </w:tc>
        <w:tc>
          <w:tcPr>
            <w:tcW w:w="1637" w:type="pct"/>
            <w:noWrap w:val="0"/>
            <w:vAlign w:val="top"/>
          </w:tcPr>
          <w:p>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1-10月</w:t>
            </w:r>
          </w:p>
        </w:tc>
        <w:tc>
          <w:tcPr>
            <w:tcW w:w="1261" w:type="pct"/>
            <w:noWrap w:val="0"/>
            <w:vAlign w:val="top"/>
          </w:tcPr>
          <w:p>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2100" w:type="pct"/>
            <w:noWrap w:val="0"/>
            <w:vAlign w:val="top"/>
          </w:tcPr>
          <w:p>
            <w:pPr>
              <w:keepNext w:val="0"/>
              <w:keepLines w:val="0"/>
              <w:pageBreakBefore w:val="0"/>
              <w:kinsoku/>
              <w:wordWrap/>
              <w:overflowPunct/>
              <w:topLinePunct w:val="0"/>
              <w:bidi w:val="0"/>
              <w:adjustRightInd/>
              <w:snapToGrid/>
              <w:spacing w:line="59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CMI</w:t>
            </w:r>
          </w:p>
        </w:tc>
        <w:tc>
          <w:tcPr>
            <w:tcW w:w="1637" w:type="pct"/>
            <w:noWrap w:val="0"/>
            <w:vAlign w:val="top"/>
          </w:tcPr>
          <w:p>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1.4587</w:t>
            </w:r>
          </w:p>
        </w:tc>
        <w:tc>
          <w:tcPr>
            <w:tcW w:w="1261" w:type="pct"/>
            <w:noWrap w:val="0"/>
            <w:vAlign w:val="top"/>
          </w:tcPr>
          <w:p>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1.5353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100" w:type="pct"/>
            <w:noWrap w:val="0"/>
            <w:vAlign w:val="top"/>
          </w:tcPr>
          <w:p>
            <w:pPr>
              <w:keepNext w:val="0"/>
              <w:keepLines w:val="0"/>
              <w:pageBreakBefore w:val="0"/>
              <w:kinsoku/>
              <w:wordWrap/>
              <w:overflowPunct/>
              <w:topLinePunct w:val="0"/>
              <w:bidi w:val="0"/>
              <w:adjustRightInd/>
              <w:snapToGrid/>
              <w:spacing w:line="590" w:lineRule="exact"/>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RW≥2占比(%)</w:t>
            </w:r>
          </w:p>
        </w:tc>
        <w:tc>
          <w:tcPr>
            <w:tcW w:w="1637" w:type="pct"/>
            <w:noWrap w:val="0"/>
            <w:vAlign w:val="top"/>
          </w:tcPr>
          <w:p>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15.25</w:t>
            </w:r>
          </w:p>
        </w:tc>
        <w:tc>
          <w:tcPr>
            <w:tcW w:w="1261" w:type="pct"/>
            <w:noWrap w:val="0"/>
            <w:vAlign w:val="top"/>
          </w:tcPr>
          <w:p>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16.66</w:t>
            </w:r>
          </w:p>
        </w:tc>
      </w:tr>
    </w:tbl>
    <w:p>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（三）强化医疗成本管控</w:t>
      </w:r>
    </w:p>
    <w:p>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DRG实现医疗服务产出的标准化，也</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医院业财融合的重要桥梁。通过财务与业务融合，使成本管理充分结合临床过程，在诊疗过程中为临床科室提供成本管理服务，充分尊重临床差异，针对不同的临床科室，制定不同的成本控制目标和策略。促进医院加强对医疗服务成本的预测、计划、控制、分析和考核。DRG管理工具，构建</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事前定标、事中控制、事后追溯的闭环成本管控体系，强化医疗成本控制。</w:t>
      </w:r>
    </w:p>
    <w:p>
      <w:pPr>
        <w:keepNext w:val="0"/>
        <w:keepLines w:val="0"/>
        <w:pageBreakBefore w:val="0"/>
        <w:kinsoku/>
        <w:wordWrap/>
        <w:overflowPunct/>
        <w:topLinePunct w:val="0"/>
        <w:bidi w:val="0"/>
        <w:adjustRightInd/>
        <w:snapToGrid/>
        <w:spacing w:line="59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（四）提升运营管理效率</w:t>
      </w:r>
    </w:p>
    <w:p>
      <w:pPr>
        <w:keepNext w:val="0"/>
        <w:keepLines w:val="0"/>
        <w:pageBreakBefore w:val="0"/>
        <w:kinsoku/>
        <w:wordWrap/>
        <w:overflowPunct/>
        <w:topLinePunct w:val="0"/>
        <w:bidi w:val="0"/>
        <w:adjustRightInd/>
        <w:snapToGrid/>
        <w:spacing w:line="590" w:lineRule="exact"/>
        <w:ind w:firstLine="640" w:firstLineChars="200"/>
        <w:jc w:val="both"/>
        <w:textAlignment w:val="auto"/>
      </w:pPr>
      <w:r>
        <w:rPr>
          <w:rFonts w:hint="eastAsia" w:ascii="仿宋_GB2312" w:hAnsi="仿宋_GB2312" w:eastAsia="仿宋_GB2312" w:cs="仿宋_GB2312"/>
          <w:sz w:val="32"/>
          <w:szCs w:val="32"/>
        </w:rPr>
        <w:t>DRG付费工作的推进促进了医院病案归档效率进一步提升，</w:t>
      </w:r>
      <w:r>
        <w:rPr>
          <w:rFonts w:hint="eastAsia" w:ascii="仿宋_GB2312" w:hAnsi="仿宋_GB2312" w:eastAsia="仿宋_GB2312" w:cs="仿宋_GB2312"/>
          <w:sz w:val="32"/>
          <w:szCs w:val="32"/>
          <w:lang w:eastAsia="zh-CN"/>
        </w:rPr>
        <w:t>医院</w:t>
      </w:r>
      <w:r>
        <w:rPr>
          <w:rFonts w:hint="eastAsia" w:ascii="仿宋_GB2312" w:hAnsi="仿宋_GB2312" w:eastAsia="仿宋_GB2312" w:cs="仿宋_GB2312"/>
          <w:sz w:val="32"/>
          <w:szCs w:val="32"/>
        </w:rPr>
        <w:t>病案</w:t>
      </w:r>
      <w:r>
        <w:rPr>
          <w:rFonts w:hint="eastAsia" w:ascii="仿宋_GB2312" w:hAnsi="仿宋_GB2312" w:eastAsia="仿宋_GB2312" w:cs="仿宋_GB2312"/>
          <w:b w:val="0"/>
          <w:bCs w:val="0"/>
          <w:sz w:val="32"/>
          <w:szCs w:val="32"/>
        </w:rPr>
        <w:t>两天归档率由42.49%提升至71.30%，三天归档率由67.74%提升至93.42%，五天归档率由95.00%提升至99.90%。DRG治疗活动标准的制定使患者的平均住院天数由8天减至7.739天，提高了床位周转率和使用率，从而使医院的日均收入增长9.44%，</w:t>
      </w:r>
      <w:r>
        <w:rPr>
          <w:rFonts w:hint="eastAsia" w:ascii="仿宋_GB2312" w:hAnsi="仿宋_GB2312" w:eastAsia="仿宋_GB2312" w:cs="仿宋_GB2312"/>
          <w:bCs/>
          <w:sz w:val="32"/>
          <w:szCs w:val="32"/>
        </w:rPr>
        <w:t>同时保证患者医疗费用稳步下降。提高患者的就医舒适感和满意度，改善患者就医体验，增加就医患者人数，缩短患者响应时间，利用规模经济降低医院的单位成本，缓解“看病难、看病贵”的难题。</w:t>
      </w:r>
      <w:r>
        <w:rPr>
          <w:rFonts w:hint="eastAsia" w:ascii="仿宋_GB2312" w:hAnsi="仿宋_GB2312" w:eastAsia="仿宋_GB2312" w:cs="仿宋_GB2312"/>
          <w:sz w:val="32"/>
          <w:szCs w:val="32"/>
        </w:rPr>
        <w:t>助力医疗服务由按数量付费转变为按质量付费，促使临床医生由经验医疗转为循证医疗，并最终实行“同病同症同治标付”。</w:t>
      </w:r>
      <w:bookmarkStart w:id="2" w:name="_GoBack"/>
      <w:bookmarkEnd w:id="2"/>
    </w:p>
    <w:sectPr>
      <w:footerReference r:id="rId3" w:type="default"/>
      <w:pgSz w:w="11906" w:h="16838"/>
      <w:pgMar w:top="1814" w:right="1474" w:bottom="1701" w:left="1587" w:header="851" w:footer="1417" w:gutter="0"/>
      <w:pgNumType w:fmt="decimal" w:start="39"/>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238356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kern w:val="0"/>
      <w:sz w:val="2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Body Text"/>
    <w:basedOn w:val="1"/>
    <w:qFormat/>
    <w:uiPriority w:val="99"/>
    <w:rPr>
      <w:rFonts w:cs="Times New Roman"/>
      <w:szCs w:val="20"/>
    </w:rPr>
  </w:style>
  <w:style w:type="paragraph" w:styleId="4">
    <w:name w:val="footer"/>
    <w:basedOn w:val="1"/>
    <w:qFormat/>
    <w:uiPriority w:val="99"/>
    <w:pPr>
      <w:tabs>
        <w:tab w:val="center" w:pos="4153"/>
        <w:tab w:val="right" w:pos="8306"/>
      </w:tabs>
      <w:snapToGrid w:val="0"/>
    </w:pPr>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2022-06-02T00:53:30Z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734D1A5A30F34B1BA6DD1E33CEE280E7</vt:lpwstr>
  </property>
</Properties>
</file>