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line="590" w:lineRule="exact"/>
        <w:ind w:left="0" w:leftChars="0" w:firstLine="0" w:firstLineChars="0"/>
        <w:jc w:val="both"/>
        <w:textAlignment w:val="auto"/>
        <w:rPr>
          <w:rFonts w:hint="default"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 w:eastAsia="zh-CN" w:bidi="ar-SA"/>
        </w:rPr>
        <w:t>附件</w:t>
      </w:r>
    </w:p>
    <w:p>
      <w:pPr>
        <w:keepNext w:val="0"/>
        <w:keepLines w:val="0"/>
        <w:pageBreakBefore w:val="0"/>
        <w:widowControl w:val="0"/>
        <w:kinsoku/>
        <w:wordWrap/>
        <w:overflowPunct/>
        <w:topLinePunct w:val="0"/>
        <w:autoSpaceDE/>
        <w:autoSpaceDN/>
        <w:bidi w:val="0"/>
        <w:adjustRightInd/>
        <w:snapToGrid/>
        <w:spacing w:line="590" w:lineRule="exact"/>
        <w:jc w:val="both"/>
        <w:rPr>
          <w:rFonts w:hint="eastAsia" w:ascii="仿宋_GB2312" w:hAnsi="仿宋_GB2312" w:eastAsia="仿宋_GB2312" w:cs="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rPr>
          <w:rFonts w:hint="eastAsia" w:ascii="仿宋_GB2312" w:hAnsi="仿宋_GB2312" w:eastAsia="仿宋_GB2312" w:cs="仿宋_GB2312"/>
          <w:bCs/>
          <w:color w:val="000000"/>
          <w:sz w:val="32"/>
          <w:szCs w:val="32"/>
        </w:rPr>
      </w:pPr>
      <w:r>
        <w:rPr>
          <w:rFonts w:hint="eastAsia" w:ascii="方正小标宋简体" w:hAnsi="方正小标宋简体" w:eastAsia="方正小标宋简体" w:cs="方正小标宋简体"/>
          <w:b w:val="0"/>
          <w:bCs w:val="0"/>
          <w:color w:val="000000"/>
          <w:kern w:val="2"/>
          <w:sz w:val="44"/>
          <w:szCs w:val="44"/>
          <w:lang w:val="en-US" w:eastAsia="zh-CN" w:bidi="ar-SA"/>
        </w:rPr>
        <w:t>基于业务视角的预算绩效评价探索</w:t>
      </w:r>
    </w:p>
    <w:p>
      <w:pPr>
        <w:keepNext w:val="0"/>
        <w:keepLines w:val="0"/>
        <w:pageBreakBefore w:val="0"/>
        <w:widowControl w:val="0"/>
        <w:kinsoku/>
        <w:wordWrap/>
        <w:overflowPunct/>
        <w:topLinePunct w:val="0"/>
        <w:autoSpaceDE/>
        <w:autoSpaceDN/>
        <w:bidi w:val="0"/>
        <w:adjustRightInd/>
        <w:snapToGrid/>
        <w:spacing w:line="590" w:lineRule="exact"/>
        <w:jc w:val="center"/>
        <w:rPr>
          <w:rFonts w:hint="eastAsia" w:ascii="仿宋_GB2312" w:hAnsi="仿宋_GB2312" w:eastAsia="仿宋_GB2312" w:cs="仿宋_GB2312"/>
          <w:bCs/>
          <w:sz w:val="32"/>
          <w:szCs w:val="32"/>
        </w:rPr>
      </w:pPr>
      <w:r>
        <w:rPr>
          <w:rFonts w:hint="eastAsia" w:ascii="楷体_GB2312" w:hAnsi="楷体_GB2312" w:eastAsia="楷体_GB2312" w:cs="楷体_GB2312"/>
          <w:bCs/>
          <w:sz w:val="32"/>
          <w:szCs w:val="32"/>
        </w:rPr>
        <w:t>福建中医药大学附属人民医院</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lang w:eastAsia="zh-CN"/>
        </w:rPr>
        <w:t>一</w:t>
      </w:r>
      <w:r>
        <w:rPr>
          <w:rFonts w:hint="eastAsia" w:ascii="黑体" w:hAnsi="黑体" w:eastAsia="黑体" w:cs="黑体"/>
          <w:bCs/>
          <w:sz w:val="32"/>
          <w:szCs w:val="32"/>
        </w:rPr>
        <w:t>、背景介绍</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全面实施预算绩效管理是推进国家治理体系和治理能力现代化的政策要求，也是推动医院高质量发展的管理要求。为有效解决医院运营管理中存在的预算绩效评价不全面、职能部门间横向协同不充分、业务绩效目标导向不明晰等问题，医院从2021年起，启动基于业务视角的预算绩效评价探索。以推进年度中心工作绩效评价为抓手，将中心工作绩效评价与预算绩效关联，基于业务视角建立预算绩效管理体系，推动医院业财深度融合，健全现代医院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lang w:eastAsia="zh-CN"/>
        </w:rPr>
        <w:t>二、亮点做法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（一）实行党委领导下的顶层设计和高位推进</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医院全面落实党委领导下的绩效考核机制，由院党委研究确认年度中心工作，实行医院党委书记主抓，各分管院领导包干负责的工作机制。医院印发《福建中医药大学附属人民医院年度中心工作绩效评价管理办法（试行）》，建立绩效考核制度，明确阶段考核、年度总评及向院党委汇报审议等工作机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（二）采用多业务维度同步推进</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院党委以医院“十四五”规划为引领，结合医改政策要求和医院实际，提出2021年度以提升“中医药综合服务能力”为工作核心，明确了包括医疗、教学、科研、管理、思政等五大维度18项重点工作任务，全面加强医院医疗质量、服务特色、管理效率、监督保障等能力。</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（三）落实项目制管理与目标驱动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医院以年度中心工作目标为主线，将工作任务项目化，通过业务推进串联牵头部门和协同部门，制定并细化目标实施路径，进而根据路径设置相关过程考核指标。同时，根据中心工作任务整合医院相关预算项目，提高资源的有效配置和使用效率。</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drawing>
          <wp:anchor distT="0" distB="0" distL="114300" distR="114300" simplePos="0" relativeHeight="251659264" behindDoc="0" locked="0" layoutInCell="1" allowOverlap="1">
            <wp:simplePos x="0" y="0"/>
            <wp:positionH relativeFrom="column">
              <wp:posOffset>-149860</wp:posOffset>
            </wp:positionH>
            <wp:positionV relativeFrom="paragraph">
              <wp:posOffset>88265</wp:posOffset>
            </wp:positionV>
            <wp:extent cx="5753735" cy="3950335"/>
            <wp:effectExtent l="0" t="0" r="18415" b="12065"/>
            <wp:wrapSquare wrapText="bothSides"/>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5"/>
                    <a:stretch>
                      <a:fillRect/>
                    </a:stretch>
                  </pic:blipFill>
                  <pic:spPr>
                    <a:xfrm>
                      <a:off x="0" y="0"/>
                      <a:ext cx="5753735" cy="3950335"/>
                    </a:xfrm>
                    <a:prstGeom prst="rect">
                      <a:avLst/>
                    </a:prstGeom>
                    <a:noFill/>
                    <a:ln>
                      <a:noFill/>
                    </a:ln>
                  </pic:spPr>
                </pic:pic>
              </a:graphicData>
            </a:graphic>
          </wp:anchor>
        </w:drawing>
      </w:r>
      <w:r>
        <w:rPr>
          <w:rFonts w:hint="eastAsia" w:ascii="楷体_GB2312" w:hAnsi="楷体_GB2312" w:eastAsia="楷体_GB2312" w:cs="楷体_GB2312"/>
          <w:bCs/>
          <w:sz w:val="32"/>
          <w:szCs w:val="32"/>
        </w:rPr>
        <w:t>（四）实行约束与激励并举</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rPr>
        <w:t>1.过程监控—约束机制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w:t>
      </w:r>
      <w:r>
        <w:rPr>
          <w:rFonts w:hint="eastAsia" w:ascii="仿宋_GB2312" w:hAnsi="仿宋_GB2312" w:eastAsia="仿宋_GB2312" w:cs="仿宋_GB2312"/>
          <w:bCs/>
          <w:sz w:val="32"/>
          <w:szCs w:val="32"/>
          <w:lang w:eastAsia="zh-CN"/>
        </w:rPr>
        <w:t>围绕</w:t>
      </w:r>
      <w:r>
        <w:rPr>
          <w:rFonts w:hint="eastAsia" w:ascii="仿宋_GB2312" w:hAnsi="仿宋_GB2312" w:eastAsia="仿宋_GB2312" w:cs="仿宋_GB2312"/>
          <w:bCs/>
          <w:sz w:val="32"/>
          <w:szCs w:val="32"/>
        </w:rPr>
        <w:t>中心工作设计绩效评价指标。在全面预算管理的基础上，依据设定的工作目标，参照定量评价法，对业务开展的经济</w:t>
      </w:r>
      <w:r>
        <w:rPr>
          <w:rFonts w:hint="eastAsia" w:ascii="仿宋_GB2312" w:hAnsi="仿宋_GB2312" w:eastAsia="仿宋_GB2312" w:cs="仿宋_GB2312"/>
          <w:bCs/>
          <w:sz w:val="32"/>
          <w:szCs w:val="32"/>
          <w:lang w:eastAsia="zh-CN"/>
        </w:rPr>
        <w:t>性</w:t>
      </w:r>
      <w:r>
        <w:rPr>
          <w:rFonts w:hint="eastAsia" w:ascii="仿宋_GB2312" w:hAnsi="仿宋_GB2312" w:eastAsia="仿宋_GB2312" w:cs="仿宋_GB2312"/>
          <w:bCs/>
          <w:sz w:val="32"/>
          <w:szCs w:val="32"/>
        </w:rPr>
        <w:t>、效率性、效益性和公平性进行绩效评价。特别是通过指标设计引导项目的参与部门利用有限资源，正确和高效地开展工作，而工作成效将最终成为约束激励及进一步资源配置的依据。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以业务指标为主的绩效评价指标体系。项目评价体系遵循以业务指标为主、经济指标为辅的思路设置三级指标体系。其中，一级包括预算执行率（权重10%）、产出（权重50%）、效益（权重30%）、服务对象满意度（10%）；二级指标主要围绕质量、时效、成本、社会效益、经济效益、可持续影响以及满意度等方面进行设置；三级指标根据各项工作具体内容进行设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开展项目组自评和院部统一评价相结合的考核办法。根据“谁支出、谁自评”的自评原则，由项目组在项目中期，在分管领导组织下，对项目组织推进、评价指标完成、项目阶段成效等方面开展自评，针对未完成预期绩效目标或偏离绩效目标较大的原因，形成阶段性评价报告向院党委说明。年度终了，由医院相关职能部门，根据项目提供的工作开展情况资料和总结报告，对项目指标完成的准确性、项目工作开展的有效性进行复核。复核结果将形成正式意见提交院党委审议。</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2.结果评价—激励机制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经院党委会审议通过的项目绩效评价结果将作为年度预算安排、改进管理、落实奖惩的重要依据。绩效评价结果采取百分制进行评分（满分为100分，得分达到80分（含）以上的评定为合格，低于80分的不合格。）</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（1）对于分管领导，年终绩效评价结果80分以上，全额兑现各中心工作项目负责的分管领导绩效工资；对评价等级不合格的，责令整改，并扣减相应管理绩效。</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对于中层干部，岗位津贴的30%依据年度中心工作评价结果发放。年终绩效评价结果80分以上，全额兑现各中心工作牵头职能部门、协同职能部门负责人相应额度的岗位津贴；对评价等级不合格的，责令整改，并扣减相应额度的岗位津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lang w:eastAsia="zh-CN"/>
        </w:rPr>
        <w:t>三、实施效果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（一）建立明晰的工作路径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在院党委战略目标引领下，通过基于业务视角的预算绩效评价，使每个管理者都肩负着明确的责任，围绕目标落实业务，创新工作模式，转变工作思路，推动医院高质量发展。</w:t>
      </w:r>
    </w:p>
    <w:p>
      <w:pPr>
        <w:keepNext w:val="0"/>
        <w:keepLines w:val="0"/>
        <w:pageBreakBefore w:val="0"/>
        <w:widowControl w:val="0"/>
        <w:kinsoku/>
        <w:wordWrap/>
        <w:overflowPunct/>
        <w:topLinePunct w:val="0"/>
        <w:autoSpaceDE/>
        <w:autoSpaceDN/>
        <w:bidi w:val="0"/>
        <w:adjustRightInd/>
        <w:snapToGrid/>
        <w:spacing w:line="590" w:lineRule="exact"/>
        <w:ind w:firstLine="20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年度中心工作项目制管理实施路径图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anchor distT="0" distB="0" distL="114300" distR="114300" simplePos="0" relativeHeight="251660288" behindDoc="0" locked="0" layoutInCell="1" allowOverlap="1">
            <wp:simplePos x="0" y="0"/>
            <wp:positionH relativeFrom="column">
              <wp:posOffset>396240</wp:posOffset>
            </wp:positionH>
            <wp:positionV relativeFrom="paragraph">
              <wp:posOffset>-6527165</wp:posOffset>
            </wp:positionV>
            <wp:extent cx="4667250" cy="6490335"/>
            <wp:effectExtent l="0" t="0" r="0" b="5715"/>
            <wp:wrapSquare wrapText="bothSides"/>
            <wp:docPr id="3" name="图片 1" descr="微信图片_20211216095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微信图片_20211216095614"/>
                    <pic:cNvPicPr>
                      <a:picLocks noChangeAspect="1"/>
                    </pic:cNvPicPr>
                  </pic:nvPicPr>
                  <pic:blipFill>
                    <a:blip r:embed="rId6"/>
                    <a:stretch>
                      <a:fillRect/>
                    </a:stretch>
                  </pic:blipFill>
                  <pic:spPr>
                    <a:xfrm>
                      <a:off x="0" y="0"/>
                      <a:ext cx="4667250" cy="649033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cente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cente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cente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cente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cente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cente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cente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cente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cente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cente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cente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cente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cente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cente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center"/>
        <w:rPr>
          <w:rFonts w:hint="eastAsia" w:ascii="楷体_GB2312" w:hAnsi="楷体_GB2312" w:eastAsia="楷体_GB2312" w:cs="楷体_GB2312"/>
          <w:bCs/>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bCs/>
          <w:sz w:val="32"/>
          <w:szCs w:val="32"/>
        </w:rPr>
        <w:t>二）阶段性评价成效</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根据实施方案，医院第三季度对纳入中心工作的18个项目进行中期评价。中期评价结果是：得分80分以上项目16个，其中满分项目4个，得分80分以下项目2个。其中：医疗维度5个项目中期评价全部合格。科研维度2个项目中期评价得分均在90分以上，项目实施情况良好。教学维度3个项目中期评价1个在80分以上，2个在80分以下，后续需要加强推动预算执行率及相关业务指标工作力度。管理维度6个项目中期评价均在90分以上，思政维度2个项目中期评价均在90分以上，思政工作业务指标推动较为有力。</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（三）整体运营持续向好</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基于业务视角的预算绩效评价的实施，为医院提质降本增效注入了活力。2021年1-9月与2019年、2020年同期比，医院收入结构持续优化，西成药品收入占比持续下降，中药饮片收入逐步上升，中医药服务能力逐步增强，医疗服务收入占比持续提高，成本补偿能力进一步增强。</w:t>
      </w:r>
    </w:p>
    <w:tbl>
      <w:tblPr>
        <w:tblStyle w:val="3"/>
        <w:tblW w:w="8541" w:type="dxa"/>
        <w:jc w:val="center"/>
        <w:tblLayout w:type="fixed"/>
        <w:tblCellMar>
          <w:top w:w="0" w:type="dxa"/>
          <w:left w:w="108" w:type="dxa"/>
          <w:bottom w:w="0" w:type="dxa"/>
          <w:right w:w="108" w:type="dxa"/>
        </w:tblCellMar>
      </w:tblPr>
      <w:tblGrid>
        <w:gridCol w:w="3834"/>
        <w:gridCol w:w="1545"/>
        <w:gridCol w:w="1455"/>
        <w:gridCol w:w="1707"/>
      </w:tblGrid>
      <w:tr>
        <w:tblPrEx>
          <w:tblCellMar>
            <w:top w:w="0" w:type="dxa"/>
            <w:left w:w="108" w:type="dxa"/>
            <w:bottom w:w="0" w:type="dxa"/>
            <w:right w:w="108" w:type="dxa"/>
          </w:tblCellMar>
        </w:tblPrEx>
        <w:trPr>
          <w:trHeight w:val="404" w:hRule="atLeast"/>
          <w:jc w:val="center"/>
        </w:trPr>
        <w:tc>
          <w:tcPr>
            <w:tcW w:w="3834"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黑体" w:hAnsi="黑体" w:eastAsia="黑体" w:cs="黑体"/>
                <w:bCs/>
                <w:sz w:val="32"/>
                <w:szCs w:val="32"/>
              </w:rPr>
            </w:pPr>
            <w:r>
              <w:rPr>
                <w:rFonts w:hint="eastAsia" w:ascii="黑体" w:hAnsi="黑体" w:eastAsia="黑体" w:cs="黑体"/>
                <w:bCs/>
                <w:sz w:val="32"/>
                <w:szCs w:val="32"/>
              </w:rPr>
              <w:t>项  目</w:t>
            </w:r>
          </w:p>
        </w:tc>
        <w:tc>
          <w:tcPr>
            <w:tcW w:w="154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黑体" w:hAnsi="黑体" w:eastAsia="黑体" w:cs="黑体"/>
                <w:bCs/>
                <w:sz w:val="32"/>
                <w:szCs w:val="32"/>
              </w:rPr>
            </w:pPr>
            <w:r>
              <w:rPr>
                <w:rFonts w:hint="eastAsia" w:ascii="黑体" w:hAnsi="黑体" w:eastAsia="黑体" w:cs="黑体"/>
                <w:bCs/>
                <w:sz w:val="32"/>
                <w:szCs w:val="32"/>
              </w:rPr>
              <w:t>2021年</w:t>
            </w:r>
          </w:p>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黑体" w:hAnsi="黑体" w:eastAsia="黑体" w:cs="黑体"/>
                <w:bCs/>
                <w:sz w:val="32"/>
                <w:szCs w:val="32"/>
              </w:rPr>
            </w:pPr>
            <w:r>
              <w:rPr>
                <w:rFonts w:hint="eastAsia" w:ascii="黑体" w:hAnsi="黑体" w:eastAsia="黑体" w:cs="黑体"/>
                <w:bCs/>
                <w:sz w:val="32"/>
                <w:szCs w:val="32"/>
              </w:rPr>
              <w:t>1-9月</w:t>
            </w: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黑体" w:hAnsi="黑体" w:eastAsia="黑体" w:cs="黑体"/>
                <w:bCs/>
                <w:sz w:val="32"/>
                <w:szCs w:val="32"/>
              </w:rPr>
            </w:pPr>
            <w:r>
              <w:rPr>
                <w:rFonts w:hint="eastAsia" w:ascii="黑体" w:hAnsi="黑体" w:eastAsia="黑体" w:cs="黑体"/>
                <w:bCs/>
                <w:sz w:val="32"/>
                <w:szCs w:val="32"/>
              </w:rPr>
              <w:t>2020年</w:t>
            </w:r>
          </w:p>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黑体" w:hAnsi="黑体" w:eastAsia="黑体" w:cs="黑体"/>
                <w:bCs/>
                <w:sz w:val="32"/>
                <w:szCs w:val="32"/>
              </w:rPr>
            </w:pPr>
            <w:r>
              <w:rPr>
                <w:rFonts w:hint="eastAsia" w:ascii="黑体" w:hAnsi="黑体" w:eastAsia="黑体" w:cs="黑体"/>
                <w:bCs/>
                <w:sz w:val="32"/>
                <w:szCs w:val="32"/>
              </w:rPr>
              <w:t>1-9月</w:t>
            </w:r>
          </w:p>
        </w:tc>
        <w:tc>
          <w:tcPr>
            <w:tcW w:w="17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黑体" w:hAnsi="黑体" w:eastAsia="黑体" w:cs="黑体"/>
                <w:bCs/>
                <w:sz w:val="32"/>
                <w:szCs w:val="32"/>
              </w:rPr>
            </w:pPr>
            <w:r>
              <w:rPr>
                <w:rFonts w:hint="eastAsia" w:ascii="黑体" w:hAnsi="黑体" w:eastAsia="黑体" w:cs="黑体"/>
                <w:bCs/>
                <w:sz w:val="32"/>
                <w:szCs w:val="32"/>
              </w:rPr>
              <w:t>2019年</w:t>
            </w:r>
          </w:p>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黑体" w:hAnsi="黑体" w:eastAsia="黑体" w:cs="黑体"/>
                <w:bCs/>
                <w:sz w:val="32"/>
                <w:szCs w:val="32"/>
              </w:rPr>
            </w:pPr>
            <w:r>
              <w:rPr>
                <w:rFonts w:hint="eastAsia" w:ascii="黑体" w:hAnsi="黑体" w:eastAsia="黑体" w:cs="黑体"/>
                <w:bCs/>
                <w:sz w:val="32"/>
                <w:szCs w:val="32"/>
              </w:rPr>
              <w:t>1-9月</w:t>
            </w:r>
          </w:p>
        </w:tc>
      </w:tr>
      <w:tr>
        <w:tblPrEx>
          <w:tblCellMar>
            <w:top w:w="0" w:type="dxa"/>
            <w:left w:w="108" w:type="dxa"/>
            <w:bottom w:w="0" w:type="dxa"/>
            <w:right w:w="108" w:type="dxa"/>
          </w:tblCellMar>
        </w:tblPrEx>
        <w:trPr>
          <w:trHeight w:val="580" w:hRule="atLeast"/>
          <w:jc w:val="center"/>
        </w:trPr>
        <w:tc>
          <w:tcPr>
            <w:tcW w:w="3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西药</w:t>
            </w:r>
            <w:r>
              <w:rPr>
                <w:rFonts w:hint="eastAsia" w:ascii="仿宋_GB2312" w:hAnsi="仿宋_GB2312" w:eastAsia="仿宋_GB2312" w:cs="仿宋_GB2312"/>
                <w:bCs/>
                <w:sz w:val="32"/>
                <w:szCs w:val="32"/>
                <w:lang w:eastAsia="zh-CN"/>
              </w:rPr>
              <w:t>和中成药</w:t>
            </w:r>
            <w:r>
              <w:rPr>
                <w:rFonts w:hint="eastAsia" w:ascii="仿宋_GB2312" w:hAnsi="仿宋_GB2312" w:eastAsia="仿宋_GB2312" w:cs="仿宋_GB2312"/>
                <w:bCs/>
                <w:sz w:val="32"/>
                <w:szCs w:val="32"/>
              </w:rPr>
              <w:t>收入占比</w:t>
            </w:r>
          </w:p>
        </w:tc>
        <w:tc>
          <w:tcPr>
            <w:tcW w:w="154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26.45%</w:t>
            </w:r>
          </w:p>
        </w:tc>
        <w:tc>
          <w:tcPr>
            <w:tcW w:w="145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30.88%</w:t>
            </w:r>
          </w:p>
        </w:tc>
        <w:tc>
          <w:tcPr>
            <w:tcW w:w="170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31.86%</w:t>
            </w:r>
          </w:p>
        </w:tc>
      </w:tr>
      <w:tr>
        <w:tblPrEx>
          <w:tblCellMar>
            <w:top w:w="0" w:type="dxa"/>
            <w:left w:w="108" w:type="dxa"/>
            <w:bottom w:w="0" w:type="dxa"/>
            <w:right w:w="108" w:type="dxa"/>
          </w:tblCellMar>
        </w:tblPrEx>
        <w:trPr>
          <w:trHeight w:val="580" w:hRule="atLeast"/>
          <w:jc w:val="center"/>
        </w:trPr>
        <w:tc>
          <w:tcPr>
            <w:tcW w:w="383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中药饮片收入占比</w:t>
            </w:r>
          </w:p>
        </w:tc>
        <w:tc>
          <w:tcPr>
            <w:tcW w:w="154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7.18%</w:t>
            </w:r>
          </w:p>
        </w:tc>
        <w:tc>
          <w:tcPr>
            <w:tcW w:w="145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6.62%</w:t>
            </w:r>
          </w:p>
        </w:tc>
        <w:tc>
          <w:tcPr>
            <w:tcW w:w="170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5.99%</w:t>
            </w:r>
          </w:p>
        </w:tc>
      </w:tr>
      <w:tr>
        <w:tblPrEx>
          <w:tblCellMar>
            <w:top w:w="0" w:type="dxa"/>
            <w:left w:w="108" w:type="dxa"/>
            <w:bottom w:w="0" w:type="dxa"/>
            <w:right w:w="108" w:type="dxa"/>
          </w:tblCellMar>
        </w:tblPrEx>
        <w:trPr>
          <w:trHeight w:val="605" w:hRule="atLeast"/>
          <w:jc w:val="center"/>
        </w:trPr>
        <w:tc>
          <w:tcPr>
            <w:tcW w:w="383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医疗服务收入占比</w:t>
            </w:r>
          </w:p>
        </w:tc>
        <w:tc>
          <w:tcPr>
            <w:tcW w:w="154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32.55%</w:t>
            </w:r>
          </w:p>
        </w:tc>
        <w:tc>
          <w:tcPr>
            <w:tcW w:w="145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29.50%</w:t>
            </w:r>
          </w:p>
        </w:tc>
        <w:tc>
          <w:tcPr>
            <w:tcW w:w="170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29.70%</w:t>
            </w:r>
          </w:p>
        </w:tc>
      </w:tr>
    </w:tbl>
    <w:p>
      <w:pPr>
        <w:keepNext w:val="0"/>
        <w:keepLines w:val="0"/>
        <w:pageBreakBefore w:val="0"/>
        <w:widowControl w:val="0"/>
        <w:kinsoku/>
        <w:wordWrap/>
        <w:overflowPunct/>
        <w:topLinePunct w:val="0"/>
        <w:autoSpaceDE/>
        <w:autoSpaceDN/>
        <w:bidi w:val="0"/>
        <w:adjustRightInd/>
        <w:snapToGrid w:val="0"/>
        <w:spacing w:line="55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2021年1-9月药品成本占比较2019年同期下降3.79%，人力成本占比较2019年同期增长2.46%，成本结构较疫情前进一步优化。</w:t>
      </w:r>
    </w:p>
    <w:tbl>
      <w:tblPr>
        <w:tblStyle w:val="3"/>
        <w:tblW w:w="8541" w:type="dxa"/>
        <w:jc w:val="center"/>
        <w:tblLayout w:type="fixed"/>
        <w:tblCellMar>
          <w:top w:w="0" w:type="dxa"/>
          <w:left w:w="108" w:type="dxa"/>
          <w:bottom w:w="0" w:type="dxa"/>
          <w:right w:w="108" w:type="dxa"/>
        </w:tblCellMar>
      </w:tblPr>
      <w:tblGrid>
        <w:gridCol w:w="3141"/>
        <w:gridCol w:w="1800"/>
        <w:gridCol w:w="1800"/>
        <w:gridCol w:w="1800"/>
      </w:tblGrid>
      <w:tr>
        <w:tblPrEx>
          <w:tblCellMar>
            <w:top w:w="0" w:type="dxa"/>
            <w:left w:w="108" w:type="dxa"/>
            <w:bottom w:w="0" w:type="dxa"/>
            <w:right w:w="108" w:type="dxa"/>
          </w:tblCellMar>
        </w:tblPrEx>
        <w:trPr>
          <w:trHeight w:val="285" w:hRule="atLeast"/>
          <w:jc w:val="center"/>
        </w:trPr>
        <w:tc>
          <w:tcPr>
            <w:tcW w:w="31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黑体" w:hAnsi="黑体" w:eastAsia="黑体" w:cs="黑体"/>
                <w:bCs/>
                <w:sz w:val="32"/>
                <w:szCs w:val="32"/>
              </w:rPr>
            </w:pPr>
            <w:r>
              <w:rPr>
                <w:rFonts w:hint="eastAsia" w:ascii="黑体" w:hAnsi="黑体" w:eastAsia="黑体" w:cs="黑体"/>
                <w:bCs/>
                <w:sz w:val="32"/>
                <w:szCs w:val="32"/>
              </w:rPr>
              <w:t>项目</w:t>
            </w:r>
          </w:p>
        </w:tc>
        <w:tc>
          <w:tcPr>
            <w:tcW w:w="18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黑体" w:hAnsi="黑体" w:eastAsia="黑体" w:cs="黑体"/>
                <w:bCs/>
                <w:sz w:val="32"/>
                <w:szCs w:val="32"/>
              </w:rPr>
            </w:pPr>
            <w:r>
              <w:rPr>
                <w:rFonts w:hint="eastAsia" w:ascii="黑体" w:hAnsi="黑体" w:eastAsia="黑体" w:cs="黑体"/>
                <w:bCs/>
                <w:sz w:val="32"/>
                <w:szCs w:val="32"/>
              </w:rPr>
              <w:t>2021年</w:t>
            </w:r>
          </w:p>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黑体" w:hAnsi="黑体" w:eastAsia="黑体" w:cs="黑体"/>
                <w:bCs/>
                <w:sz w:val="32"/>
                <w:szCs w:val="32"/>
              </w:rPr>
            </w:pPr>
            <w:r>
              <w:rPr>
                <w:rFonts w:hint="eastAsia" w:ascii="黑体" w:hAnsi="黑体" w:eastAsia="黑体" w:cs="黑体"/>
                <w:bCs/>
                <w:sz w:val="32"/>
                <w:szCs w:val="32"/>
              </w:rPr>
              <w:t>1-9月</w:t>
            </w:r>
          </w:p>
        </w:tc>
        <w:tc>
          <w:tcPr>
            <w:tcW w:w="18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黑体" w:hAnsi="黑体" w:eastAsia="黑体" w:cs="黑体"/>
                <w:bCs/>
                <w:sz w:val="32"/>
                <w:szCs w:val="32"/>
              </w:rPr>
            </w:pPr>
            <w:r>
              <w:rPr>
                <w:rFonts w:hint="eastAsia" w:ascii="黑体" w:hAnsi="黑体" w:eastAsia="黑体" w:cs="黑体"/>
                <w:bCs/>
                <w:sz w:val="32"/>
                <w:szCs w:val="32"/>
              </w:rPr>
              <w:t>2019年</w:t>
            </w:r>
          </w:p>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黑体" w:hAnsi="黑体" w:eastAsia="黑体" w:cs="黑体"/>
                <w:bCs/>
                <w:sz w:val="32"/>
                <w:szCs w:val="32"/>
              </w:rPr>
            </w:pPr>
            <w:r>
              <w:rPr>
                <w:rFonts w:hint="eastAsia" w:ascii="黑体" w:hAnsi="黑体" w:eastAsia="黑体" w:cs="黑体"/>
                <w:bCs/>
                <w:sz w:val="32"/>
                <w:szCs w:val="32"/>
              </w:rPr>
              <w:t>1-9月</w:t>
            </w:r>
          </w:p>
        </w:tc>
        <w:tc>
          <w:tcPr>
            <w:tcW w:w="18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黑体" w:hAnsi="黑体" w:eastAsia="黑体" w:cs="黑体"/>
                <w:bCs/>
                <w:sz w:val="32"/>
                <w:szCs w:val="32"/>
              </w:rPr>
            </w:pPr>
            <w:r>
              <w:rPr>
                <w:rFonts w:hint="eastAsia" w:ascii="黑体" w:hAnsi="黑体" w:eastAsia="黑体" w:cs="黑体"/>
                <w:bCs/>
                <w:sz w:val="32"/>
                <w:szCs w:val="32"/>
              </w:rPr>
              <w:t>变动值</w:t>
            </w:r>
          </w:p>
        </w:tc>
      </w:tr>
      <w:tr>
        <w:tblPrEx>
          <w:tblCellMar>
            <w:top w:w="0" w:type="dxa"/>
            <w:left w:w="108" w:type="dxa"/>
            <w:bottom w:w="0" w:type="dxa"/>
            <w:right w:w="108" w:type="dxa"/>
          </w:tblCellMar>
        </w:tblPrEx>
        <w:trPr>
          <w:trHeight w:val="285" w:hRule="atLeast"/>
          <w:jc w:val="center"/>
        </w:trPr>
        <w:tc>
          <w:tcPr>
            <w:tcW w:w="314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人力成本占比</w:t>
            </w:r>
          </w:p>
        </w:tc>
        <w:tc>
          <w:tcPr>
            <w:tcW w:w="1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34.43%</w:t>
            </w:r>
          </w:p>
        </w:tc>
        <w:tc>
          <w:tcPr>
            <w:tcW w:w="1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31.97%</w:t>
            </w:r>
          </w:p>
        </w:tc>
        <w:tc>
          <w:tcPr>
            <w:tcW w:w="1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2.46%</w:t>
            </w:r>
          </w:p>
        </w:tc>
      </w:tr>
      <w:tr>
        <w:tblPrEx>
          <w:tblCellMar>
            <w:top w:w="0" w:type="dxa"/>
            <w:left w:w="108" w:type="dxa"/>
            <w:bottom w:w="0" w:type="dxa"/>
            <w:right w:w="108" w:type="dxa"/>
          </w:tblCellMar>
        </w:tblPrEx>
        <w:trPr>
          <w:trHeight w:val="285" w:hRule="atLeast"/>
          <w:jc w:val="center"/>
        </w:trPr>
        <w:tc>
          <w:tcPr>
            <w:tcW w:w="314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药品成本占比</w:t>
            </w:r>
          </w:p>
        </w:tc>
        <w:tc>
          <w:tcPr>
            <w:tcW w:w="1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34.34%</w:t>
            </w:r>
          </w:p>
        </w:tc>
        <w:tc>
          <w:tcPr>
            <w:tcW w:w="1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38.13%</w:t>
            </w:r>
          </w:p>
        </w:tc>
        <w:tc>
          <w:tcPr>
            <w:tcW w:w="1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-3.79%</w:t>
            </w:r>
          </w:p>
        </w:tc>
      </w:tr>
      <w:tr>
        <w:tblPrEx>
          <w:tblCellMar>
            <w:top w:w="0" w:type="dxa"/>
            <w:left w:w="108" w:type="dxa"/>
            <w:bottom w:w="0" w:type="dxa"/>
            <w:right w:w="108" w:type="dxa"/>
          </w:tblCellMar>
        </w:tblPrEx>
        <w:trPr>
          <w:trHeight w:val="285" w:hRule="atLeast"/>
          <w:jc w:val="center"/>
        </w:trPr>
        <w:tc>
          <w:tcPr>
            <w:tcW w:w="314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卫生材料成本占比</w:t>
            </w:r>
          </w:p>
        </w:tc>
        <w:tc>
          <w:tcPr>
            <w:tcW w:w="1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20.77%</w:t>
            </w:r>
          </w:p>
        </w:tc>
        <w:tc>
          <w:tcPr>
            <w:tcW w:w="1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18.93%</w:t>
            </w:r>
          </w:p>
        </w:tc>
        <w:tc>
          <w:tcPr>
            <w:tcW w:w="1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1.84%</w:t>
            </w:r>
          </w:p>
        </w:tc>
      </w:tr>
      <w:tr>
        <w:tblPrEx>
          <w:tblCellMar>
            <w:top w:w="0" w:type="dxa"/>
            <w:left w:w="108" w:type="dxa"/>
            <w:bottom w:w="0" w:type="dxa"/>
            <w:right w:w="108" w:type="dxa"/>
          </w:tblCellMar>
        </w:tblPrEx>
        <w:trPr>
          <w:trHeight w:val="285" w:hRule="atLeast"/>
          <w:jc w:val="center"/>
        </w:trPr>
        <w:tc>
          <w:tcPr>
            <w:tcW w:w="314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其他成本占比</w:t>
            </w:r>
          </w:p>
        </w:tc>
        <w:tc>
          <w:tcPr>
            <w:tcW w:w="1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9.49%</w:t>
            </w:r>
          </w:p>
        </w:tc>
        <w:tc>
          <w:tcPr>
            <w:tcW w:w="1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10.00%</w:t>
            </w:r>
          </w:p>
        </w:tc>
        <w:tc>
          <w:tcPr>
            <w:tcW w:w="1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-0.51%</w:t>
            </w:r>
          </w:p>
        </w:tc>
      </w:tr>
    </w:tbl>
    <w:p>
      <w:bookmarkStart w:id="0" w:name="_GoBack"/>
      <w:bookmarkEnd w:id="0"/>
    </w:p>
    <w:sectPr>
      <w:footerReference r:id="rId3" w:type="default"/>
      <w:pgSz w:w="11906" w:h="16838"/>
      <w:pgMar w:top="1814" w:right="1474" w:bottom="1701" w:left="1587" w:header="851" w:footer="1417" w:gutter="0"/>
      <w:pgNumType w:fmt="decimal" w:start="2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YjAxYzQwMTJiMDU5OWFkNjE2NmRmMzU5M2ZiNzgifQ=="/>
  </w:docVars>
  <w:rsids>
    <w:rsidRoot w:val="00000000"/>
    <w:rsid w:val="61817C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customStyle="1" w:styleId="5">
    <w:name w:val="List Paragraph"/>
    <w:basedOn w:val="1"/>
    <w:qFormat/>
    <w:uiPriority w:val="34"/>
    <w:pPr>
      <w:widowControl/>
      <w:ind w:firstLine="420" w:firstLineChars="20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2022-06-02T00:50:45Z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D3D4070006204FD1B7486F44A80506AA</vt:lpwstr>
  </property>
</Properties>
</file>