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" w:eastAsia="zh-CN" w:bidi="ar-SA"/>
        </w:rPr>
        <w:t>附件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" w:eastAsia="zh-CN" w:bidi="ar-SA"/>
        </w:rPr>
      </w:pP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  <w:t>聚焦高质量发展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  <w:t>探索精细化成本管控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——医用非收（计）费耗材节支降耗新举措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rPr>
          <w:rFonts w:hint="eastAsia" w:ascii="楷体_GB2312" w:hAnsi="楷体_GB2312" w:eastAsia="楷体_GB2312" w:cs="楷体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kern w:val="2"/>
          <w:sz w:val="32"/>
          <w:szCs w:val="32"/>
          <w:lang w:val="en-US" w:eastAsia="zh-CN" w:bidi="ar-SA"/>
        </w:rPr>
        <w:t>福建省肿瘤医院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center"/>
        <w:rPr>
          <w:rFonts w:hint="default" w:ascii="Times New Roman" w:hAnsi="Times New Roman" w:eastAsia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center"/>
        <w:rPr>
          <w:rFonts w:hint="eastAsia" w:ascii="Times New Roman" w:hAnsi="Times New Roman" w:eastAsia="仿宋" w:cs="Times New Roman"/>
          <w:szCs w:val="32"/>
        </w:rPr>
      </w:pPr>
      <w:r>
        <w:rPr>
          <w:rFonts w:hint="eastAsia" w:ascii="黑体" w:hAnsi="黑体" w:eastAsia="黑体" w:cs="黑体"/>
          <w:szCs w:val="32"/>
          <w:lang w:eastAsia="zh-CN"/>
        </w:rPr>
        <w:t>一</w:t>
      </w:r>
      <w:r>
        <w:rPr>
          <w:rFonts w:hint="eastAsia" w:ascii="黑体" w:hAnsi="黑体" w:eastAsia="黑体" w:cs="黑体"/>
          <w:szCs w:val="32"/>
        </w:rPr>
        <w:t>、背景介绍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随着医改进入深水区和攻坚期，公立医院需要从“规模扩张”向“内涵发展”转变。对成本控制进行精细管理，是公立医院由粗放式发展向高质量发展的必然要求。医用耗材管理是医院成本控制的重要内容和关键环节，对降低医院运行成本，降低医疗费用，减轻患者就医负担具有重要意义。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在医用耗材采购环节，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当前主要问题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销售垄断，部分耗材供应商具有较大的话语权，医院定价能力偏弱，如专机专用耗材；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由于医用耗材种类多、数量大，且国家对于医用耗材的名称没有统一的标准，一些同名称的医用耗材又有不同的型号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分支、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不同生产厂家，采购比价混乱；三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是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临床工作中的医用耗材使用缺乏科学合理的领用要求及管理措施，耗材管理部门基本不会对耗材的使用情况进行深入追踪了解。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7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随着国家各项政策的推荐与各项标准的逐步完善，医院对高值耗材的管理与规范使用已经较为重视，但对于非收（计）费耗材这类相对低值的耗材管理较少。近年来非收（计）费耗材的品类逐渐增多，单个非收（计）费耗材的价值虽然不高，但其用量巨大，在医院成本支出中所占比重呈上升趋势。针对该种情况，医院决定展开非收（计）费耗材价格谈判工作，逐步挤压耗材虚高的价格水分，从而有效降低医疗成本，减轻患者负担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70" w:lineRule="exact"/>
        <w:ind w:firstLine="640" w:firstLineChars="200"/>
        <w:textAlignment w:val="center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  <w:lang w:eastAsia="zh-CN"/>
        </w:rPr>
        <w:t>二</w:t>
      </w:r>
      <w:r>
        <w:rPr>
          <w:rFonts w:hint="eastAsia" w:ascii="黑体" w:hAnsi="黑体" w:eastAsia="黑体" w:cs="黑体"/>
          <w:szCs w:val="32"/>
        </w:rPr>
        <w:t>、亮点做法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（一）一把手带队，成立管理专班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7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医院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领导班子高度重视非收（计）费医用耗材价格谈判工作，在医院医学装备管理委员会下成立专项工作领导小组及办公室，由院长担任小组组长，院领导班子成员担任副组长，参与每场价格谈判。统一思想、统一部署、统一实施，成员覆盖各相关科室负责人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有利强化了医院耗材管理力度，规范工作秩序，提高工作效率。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（二）</w:t>
      </w:r>
      <w:r>
        <w:rPr>
          <w:rFonts w:hint="default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各部门协作，明确责任分工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7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在专项工作领导小组指导下，由设备部门与财务部门联合牵头，设备部门负责日常工作的组织协调，财务部门对成本进行测算并进行全程成本监控。设备科、检验科、病理科、医务科、护理部、供应室、放诊科等科室细化责任、明确分工，根据职责范围及工作流程紧密配合、有序推进专项工作；财务、纪检、审计部门全程介入，履行监管职责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。执行科学规范的工作流程（见图1），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强化对关键少数和关键岗位环节的监督管理，从而实现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全员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参与的医用耗材精细化管理体系。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0" w:lineRule="exact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301625</wp:posOffset>
            </wp:positionH>
            <wp:positionV relativeFrom="paragraph">
              <wp:posOffset>59055</wp:posOffset>
            </wp:positionV>
            <wp:extent cx="5212715" cy="5161915"/>
            <wp:effectExtent l="0" t="0" r="6985" b="635"/>
            <wp:wrapTight wrapText="bothSides">
              <wp:wrapPolygon>
                <wp:start x="8052" y="0"/>
                <wp:lineTo x="5447" y="80"/>
                <wp:lineTo x="5447" y="1196"/>
                <wp:lineTo x="316" y="1435"/>
                <wp:lineTo x="237" y="2631"/>
                <wp:lineTo x="1105" y="3747"/>
                <wp:lineTo x="6078" y="3826"/>
                <wp:lineTo x="5999" y="4863"/>
                <wp:lineTo x="6868" y="5102"/>
                <wp:lineTo x="10104" y="5102"/>
                <wp:lineTo x="7973" y="6377"/>
                <wp:lineTo x="6710" y="6855"/>
                <wp:lineTo x="6710" y="7015"/>
                <wp:lineTo x="8367" y="7653"/>
                <wp:lineTo x="316" y="7971"/>
                <wp:lineTo x="316" y="8689"/>
                <wp:lineTo x="10104" y="8928"/>
                <wp:lineTo x="6789" y="10443"/>
                <wp:lineTo x="6868" y="10761"/>
                <wp:lineTo x="8841" y="11479"/>
                <wp:lineTo x="10025" y="12754"/>
                <wp:lineTo x="8210" y="12754"/>
                <wp:lineTo x="8210" y="14030"/>
                <wp:lineTo x="10104" y="14030"/>
                <wp:lineTo x="8288" y="15305"/>
                <wp:lineTo x="6710" y="15863"/>
                <wp:lineTo x="6710" y="16023"/>
                <wp:lineTo x="8052" y="16581"/>
                <wp:lineTo x="10025" y="17856"/>
                <wp:lineTo x="1658" y="17936"/>
                <wp:lineTo x="395" y="18095"/>
                <wp:lineTo x="474" y="20726"/>
                <wp:lineTo x="2605" y="21204"/>
                <wp:lineTo x="7894" y="21523"/>
                <wp:lineTo x="12867" y="21523"/>
                <wp:lineTo x="15235" y="21443"/>
                <wp:lineTo x="15393" y="20566"/>
                <wp:lineTo x="14209" y="20407"/>
                <wp:lineTo x="13025" y="19132"/>
                <wp:lineTo x="21550" y="18175"/>
                <wp:lineTo x="21550" y="17936"/>
                <wp:lineTo x="11051" y="17856"/>
                <wp:lineTo x="12551" y="16581"/>
                <wp:lineTo x="15630" y="16581"/>
                <wp:lineTo x="18235" y="16023"/>
                <wp:lineTo x="18235" y="14030"/>
                <wp:lineTo x="20208" y="14030"/>
                <wp:lineTo x="20208" y="12754"/>
                <wp:lineTo x="18156" y="12754"/>
                <wp:lineTo x="18314" y="10602"/>
                <wp:lineTo x="17840" y="10443"/>
                <wp:lineTo x="14761" y="10203"/>
                <wp:lineTo x="14998" y="9725"/>
                <wp:lineTo x="14603" y="9566"/>
                <wp:lineTo x="11130" y="8928"/>
                <wp:lineTo x="12235" y="7653"/>
                <wp:lineTo x="14130" y="7653"/>
                <wp:lineTo x="16103" y="7015"/>
                <wp:lineTo x="16024" y="3826"/>
                <wp:lineTo x="20682" y="3747"/>
                <wp:lineTo x="20603" y="3507"/>
                <wp:lineTo x="14919" y="2551"/>
                <wp:lineTo x="15077" y="2073"/>
                <wp:lineTo x="14525" y="1833"/>
                <wp:lineTo x="12472" y="1275"/>
                <wp:lineTo x="15314" y="1196"/>
                <wp:lineTo x="15314" y="80"/>
                <wp:lineTo x="12788" y="0"/>
                <wp:lineTo x="8052" y="0"/>
              </wp:wrapPolygon>
            </wp:wrapTight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2715" cy="516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0" w:lineRule="exact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0" w:lineRule="exact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0" w:lineRule="exact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0" w:lineRule="exact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0" w:lineRule="exact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图1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非收（计）费耗材价格谈判流程图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5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（三）</w:t>
      </w:r>
      <w:r>
        <w:rPr>
          <w:rFonts w:hint="default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全面摸底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统计</w:t>
      </w:r>
      <w:r>
        <w:rPr>
          <w:rFonts w:hint="default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科学</w:t>
      </w:r>
      <w:r>
        <w:rPr>
          <w:rFonts w:hint="default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细化分析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65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为高效、精准地开展非收（计）费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耗材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价格谈判工作，对在用的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耗材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采购、出库、收费等大数据进行科学梳理。最终确立了以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在用的检验科、病理科试剂，输血科非收（计）费耗材，供应室清洗用耗材，胶片，临床使用的敷贴、高压注射器、血糖试纸及其它常用低值耗材为主体的谈判对象，确保在保障质量的前提下开展价格谈判。最终确认参与谈判总金额为8097.8万元（见表1）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 xml:space="preserve">表1  </w:t>
      </w:r>
      <w:r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非收（计）费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耗材价格谈判分布表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righ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金额单位：万元</w:t>
      </w:r>
    </w:p>
    <w:tbl>
      <w:tblPr>
        <w:tblStyle w:val="7"/>
        <w:tblW w:w="943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6"/>
        <w:gridCol w:w="1411"/>
        <w:gridCol w:w="1628"/>
        <w:gridCol w:w="2150"/>
        <w:gridCol w:w="1357"/>
        <w:gridCol w:w="17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156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tcMar>
              <w:top w:w="10" w:type="dxa"/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科室</w:t>
            </w:r>
          </w:p>
        </w:tc>
        <w:tc>
          <w:tcPr>
            <w:tcW w:w="1411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tcMar>
              <w:top w:w="10" w:type="dxa"/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合计</w:t>
            </w:r>
          </w:p>
        </w:tc>
        <w:tc>
          <w:tcPr>
            <w:tcW w:w="1628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tcMar>
              <w:top w:w="10" w:type="dxa"/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检验科</w:t>
            </w:r>
          </w:p>
        </w:tc>
        <w:tc>
          <w:tcPr>
            <w:tcW w:w="2150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tcMar>
              <w:top w:w="10" w:type="dxa"/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病理科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免疫病理室</w:t>
            </w:r>
          </w:p>
        </w:tc>
        <w:tc>
          <w:tcPr>
            <w:tcW w:w="1357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tcMar>
              <w:top w:w="10" w:type="dxa"/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输血科</w:t>
            </w:r>
          </w:p>
        </w:tc>
        <w:tc>
          <w:tcPr>
            <w:tcW w:w="1735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tcMar>
              <w:top w:w="10" w:type="dxa"/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其他科室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56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tcMar>
              <w:top w:w="10" w:type="dxa"/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金额</w:t>
            </w:r>
          </w:p>
        </w:tc>
        <w:tc>
          <w:tcPr>
            <w:tcW w:w="1411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tcMar>
              <w:top w:w="10" w:type="dxa"/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8097.8</w:t>
            </w:r>
          </w:p>
        </w:tc>
        <w:tc>
          <w:tcPr>
            <w:tcW w:w="1628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tcMar>
              <w:top w:w="10" w:type="dxa"/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 xml:space="preserve">4333 </w:t>
            </w:r>
          </w:p>
        </w:tc>
        <w:tc>
          <w:tcPr>
            <w:tcW w:w="2150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tcMar>
              <w:top w:w="10" w:type="dxa"/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 xml:space="preserve">1887.7 </w:t>
            </w:r>
          </w:p>
        </w:tc>
        <w:tc>
          <w:tcPr>
            <w:tcW w:w="1357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tcMar>
              <w:top w:w="10" w:type="dxa"/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 xml:space="preserve">228 </w:t>
            </w:r>
          </w:p>
        </w:tc>
        <w:tc>
          <w:tcPr>
            <w:tcW w:w="1735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tcMar>
              <w:top w:w="10" w:type="dxa"/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1649.1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5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（四）分批分次开展，灵活多样谈判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5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1.先易后难、先大后小的策略</w:t>
      </w: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通过采取先易后难、先大后小的策略，</w:t>
      </w: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用量大、金额高的非收（计）费医用耗材品种入手，奠定了谈判的基调和氛围。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5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2.推进 “一票制”采购模式</w:t>
      </w: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贯彻省医保局“坚持两票制，鼓励一票制”精神，鼓励有条件的厂家可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直接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配送，既减少中间环节产生的差价，又压缩了临床的回扣空间。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3.谈判方式灵活、多样化</w:t>
      </w: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结合医院实际，遵循“严格管理，确保质量，保障供应，降低成本”的原则，根据非收（计）费医用耗材不同的使用金额、使用科室、使用情况，采取价格磋商和公开遴选相结合的办法，精准定位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谈判对象，制定合适的谈判方案。同时，借助“承诺至少保证2019年相同采购量”以及“压缩回款时间到2个月以内”等措施，增加专项谈判工作的灵活性和可操作性。共开展9批次谈判工作（见表2）。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表2 非收（计）费耗材价格谈判批次情况表</w:t>
      </w:r>
    </w:p>
    <w:tbl>
      <w:tblPr>
        <w:tblStyle w:val="7"/>
        <w:tblW w:w="8911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1"/>
        <w:gridCol w:w="75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tblHeader/>
        </w:trPr>
        <w:tc>
          <w:tcPr>
            <w:tcW w:w="13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0" w:type="dxa"/>
              <w:left w:w="108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firstLine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批次</w:t>
            </w:r>
          </w:p>
        </w:tc>
        <w:tc>
          <w:tcPr>
            <w:tcW w:w="7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0" w:type="dxa"/>
              <w:left w:w="108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firstLine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谈判内容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3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0" w:type="dxa"/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第一批</w:t>
            </w:r>
          </w:p>
        </w:tc>
        <w:tc>
          <w:tcPr>
            <w:tcW w:w="7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0" w:type="dxa"/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firstLine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病理科、检验科专机专用试剂等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0" w:type="dxa"/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第二批</w:t>
            </w:r>
          </w:p>
        </w:tc>
        <w:tc>
          <w:tcPr>
            <w:tcW w:w="7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0" w:type="dxa"/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firstLine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病理科、检验科专机专用试剂等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3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0" w:type="dxa"/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第三批</w:t>
            </w:r>
          </w:p>
        </w:tc>
        <w:tc>
          <w:tcPr>
            <w:tcW w:w="7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0" w:type="dxa"/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firstLine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病理科试剂及耗材、透明敷料、打印胶片、高压注射器针筒等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3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0" w:type="dxa"/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第四批</w:t>
            </w:r>
          </w:p>
        </w:tc>
        <w:tc>
          <w:tcPr>
            <w:tcW w:w="7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0" w:type="dxa"/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firstLine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供应室清洗、消毒类耗材、血糖试纸、部分内镜用耗材、全院使用的棉纱制品等低值耗材等</w:t>
            </w:r>
          </w:p>
        </w:tc>
      </w:tr>
      <w:tr>
        <w:trPr>
          <w:trHeight w:val="500" w:hRule="atLeast"/>
        </w:trPr>
        <w:tc>
          <w:tcPr>
            <w:tcW w:w="13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0" w:type="dxa"/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第五批</w:t>
            </w:r>
          </w:p>
        </w:tc>
        <w:tc>
          <w:tcPr>
            <w:tcW w:w="7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0" w:type="dxa"/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firstLine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放诊科一次性使用压力连接管、麻醉科、ICU麻醉呼吸管路及热湿交换过滤器、心肺室呼吸回路过滤器等</w:t>
            </w:r>
          </w:p>
        </w:tc>
      </w:tr>
      <w:tr>
        <w:trPr>
          <w:trHeight w:val="339" w:hRule="atLeast"/>
        </w:trPr>
        <w:tc>
          <w:tcPr>
            <w:tcW w:w="13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0" w:type="dxa"/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第六批</w:t>
            </w:r>
          </w:p>
        </w:tc>
        <w:tc>
          <w:tcPr>
            <w:tcW w:w="7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0" w:type="dxa"/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firstLine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邻苯二甲醛消毒液、器械润滑剂、灭菌包装无纺布等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 w:hRule="atLeast"/>
        </w:trPr>
        <w:tc>
          <w:tcPr>
            <w:tcW w:w="13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0" w:type="dxa"/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第七批</w:t>
            </w:r>
          </w:p>
        </w:tc>
        <w:tc>
          <w:tcPr>
            <w:tcW w:w="7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0" w:type="dxa"/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firstLine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造口类非收（计）费耗材、手消液及其他年使用10万元以下的非收（计）费耗材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13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0" w:type="dxa"/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第八批</w:t>
            </w:r>
          </w:p>
        </w:tc>
        <w:tc>
          <w:tcPr>
            <w:tcW w:w="7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0" w:type="dxa"/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firstLine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检验科、病理科2019年使用总额10万以下的非收（计）费耗材、输血科非收（计）费耗材</w:t>
            </w:r>
          </w:p>
        </w:tc>
      </w:tr>
      <w:tr>
        <w:trPr>
          <w:trHeight w:val="499" w:hRule="atLeast"/>
        </w:trPr>
        <w:tc>
          <w:tcPr>
            <w:tcW w:w="13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0" w:type="dxa"/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第九批</w:t>
            </w:r>
          </w:p>
        </w:tc>
        <w:tc>
          <w:tcPr>
            <w:tcW w:w="7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0" w:type="dxa"/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90" w:lineRule="exact"/>
              <w:ind w:left="0" w:firstLine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病理科免疫组化一抗、FISH试剂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center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  <w:lang w:eastAsia="zh-CN"/>
        </w:rPr>
        <w:t>三</w:t>
      </w:r>
      <w:r>
        <w:rPr>
          <w:rFonts w:hint="eastAsia" w:ascii="黑体" w:hAnsi="黑体" w:eastAsia="黑体" w:cs="黑体"/>
          <w:szCs w:val="32"/>
        </w:rPr>
        <w:t>、</w:t>
      </w:r>
      <w:r>
        <w:rPr>
          <w:rFonts w:hint="default" w:ascii="黑体" w:hAnsi="黑体" w:eastAsia="黑体" w:cs="黑体"/>
          <w:szCs w:val="32"/>
        </w:rPr>
        <w:t>实施效果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通过本次非收（计）费医用耗材价格谈判专项工作，合计谈判供货商117家次，谈判金额8097.8万元，合计降价金额1344.1万元，降幅16.6%，降低了医院运行成本。其中检验科耗材及试剂谈判金额4333万元，合计降价金额685.7万元，降幅15.8%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病理科耗材及试剂谈判金额1887.7万元，合计降价金额260.8万元，降幅13.8%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输血科耗材及试剂谈判金额228万元，合计降价金额31.2万元，降幅13.7%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其他科室非收（计）费医用耗材降谈判金额1649.1万元，合计降价金额366.5万元，降幅22.2%。因无法按照我院标准降价最终同意放弃的金额80.5万元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见表3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表3 非收（计）费耗材价格谈判降价统计表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right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金额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单位：万元</w:t>
      </w:r>
    </w:p>
    <w:tbl>
      <w:tblPr>
        <w:tblStyle w:val="7"/>
        <w:tblW w:w="9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3"/>
        <w:gridCol w:w="1230"/>
        <w:gridCol w:w="1260"/>
        <w:gridCol w:w="1860"/>
        <w:gridCol w:w="1275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科室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合计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检验科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病理科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免疫病理室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输血科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2019年总出库金额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8097.8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4333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1887.7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228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1649.1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累计降价金额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1344.1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685.7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260.8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31.2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366.5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降幅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16.6%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15.8%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13.8%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13.7%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22.2%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放弃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80.5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16.6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56.2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7.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谈判新增供货厂家品牌产品12项，比例低于3%，在保证专项工作稳健开展和临床安全过渡的基础上，淘汰了一批技术落后、性价比低、收益比低的耗材及试剂，对非收（计）费医用耗材及试剂目录进行精细化梳理，进一步规范我耗材试剂管理和临床应用管理。医院总结经验，以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该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举措为主题，参加国家卫生健康委能力建设和继续教育中心举办的2021年度中国现代医院管理典型案例评选，荣获医院财务管理典型案例。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814" w:right="1474" w:bottom="1701" w:left="1587" w:header="283" w:footer="1417" w:gutter="0"/>
      <w:pgNumType w:fmt="decimal" w:start="15"/>
      <w:cols w:space="720" w:num="1"/>
      <w:rtlGutter w:val="0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660C66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qFormat/>
    <w:uiPriority w:val="0"/>
    <w:pPr>
      <w:widowControl w:val="0"/>
      <w:spacing w:after="120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9">
    <w:name w:val="List Paragraph"/>
    <w:basedOn w:val="1"/>
    <w:qFormat/>
    <w:uiPriority w:val="99"/>
    <w:pPr>
      <w:spacing w:line="360" w:lineRule="auto"/>
      <w:jc w:val="left"/>
    </w:pPr>
    <w:rPr>
      <w:rFonts w:ascii="宋体" w:hAnsi="宋体"/>
      <w:b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2022-06-02T00:49:51Z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D2CE7F9921FD430FA9536D9D226B93B5</vt:lpwstr>
  </property>
</Properties>
</file>